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4382" w14:textId="77777777" w:rsidR="00FF6C4B" w:rsidRDefault="00FF6C4B">
      <w:pPr>
        <w:rPr>
          <w:b/>
          <w:sz w:val="24"/>
        </w:rPr>
      </w:pPr>
    </w:p>
    <w:p w14:paraId="01DBA584" w14:textId="77777777" w:rsidR="00E5480F" w:rsidRPr="00F13A4F" w:rsidRDefault="00E5480F" w:rsidP="00E5480F">
      <w:pPr>
        <w:pStyle w:val="Title"/>
        <w:rPr>
          <w:rFonts w:ascii="Calibri" w:hAnsi="Calibri" w:cs="Calibri"/>
          <w:sz w:val="82"/>
        </w:rPr>
      </w:pPr>
      <w:r w:rsidRPr="00F13A4F">
        <w:rPr>
          <w:rFonts w:ascii="Calibri" w:hAnsi="Calibri" w:cs="Calibri"/>
          <w:sz w:val="82"/>
        </w:rPr>
        <w:t>Thomas Telford School</w:t>
      </w:r>
    </w:p>
    <w:p w14:paraId="626962E9" w14:textId="77777777" w:rsidR="00E5480F" w:rsidRDefault="00E5480F" w:rsidP="00E5480F">
      <w:pPr>
        <w:pStyle w:val="Title"/>
        <w:rPr>
          <w:rFonts w:ascii="Calibri" w:hAnsi="Calibri" w:cs="Calibri"/>
          <w:sz w:val="52"/>
        </w:rPr>
      </w:pPr>
    </w:p>
    <w:p w14:paraId="00047A10" w14:textId="77777777" w:rsidR="00E5480F" w:rsidRDefault="00E5480F" w:rsidP="00E5480F">
      <w:pPr>
        <w:pStyle w:val="Title"/>
        <w:rPr>
          <w:rFonts w:ascii="Calibri" w:hAnsi="Calibri" w:cs="Calibri"/>
          <w:sz w:val="52"/>
        </w:rPr>
      </w:pPr>
    </w:p>
    <w:p w14:paraId="46CB7421" w14:textId="77777777" w:rsidR="00E5480F" w:rsidRPr="00F13A4F" w:rsidRDefault="00E5480F" w:rsidP="00E5480F">
      <w:pPr>
        <w:pStyle w:val="Title"/>
        <w:rPr>
          <w:rFonts w:ascii="Calibri" w:hAnsi="Calibri" w:cs="Calibri"/>
          <w:sz w:val="52"/>
        </w:rPr>
      </w:pPr>
    </w:p>
    <w:p w14:paraId="0632F84D" w14:textId="77777777" w:rsidR="00E5480F" w:rsidRPr="00F13A4F" w:rsidRDefault="00E5480F" w:rsidP="00E5480F">
      <w:pPr>
        <w:jc w:val="center"/>
        <w:rPr>
          <w:b/>
          <w:sz w:val="48"/>
        </w:rPr>
      </w:pPr>
      <w:r w:rsidRPr="00F13A4F">
        <w:rPr>
          <w:b/>
          <w:noProof/>
          <w:sz w:val="48"/>
        </w:rPr>
        <w:drawing>
          <wp:inline distT="0" distB="0" distL="0" distR="0" wp14:anchorId="2ADEAE01" wp14:editId="3BC61A1B">
            <wp:extent cx="2828925" cy="2828925"/>
            <wp:effectExtent l="0" t="0" r="9525" b="9525"/>
            <wp:docPr id="1" name="Picture 1" descr="Description: 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6C6C48EF" w14:textId="77777777" w:rsidR="00E5480F" w:rsidRPr="00F13A4F" w:rsidRDefault="00E5480F" w:rsidP="00E5480F">
      <w:pPr>
        <w:jc w:val="center"/>
        <w:rPr>
          <w:sz w:val="24"/>
        </w:rPr>
      </w:pPr>
    </w:p>
    <w:p w14:paraId="1136E40D" w14:textId="77777777" w:rsidR="00E5480F" w:rsidRDefault="00E5480F" w:rsidP="00E5480F">
      <w:pPr>
        <w:jc w:val="center"/>
        <w:rPr>
          <w:sz w:val="56"/>
        </w:rPr>
      </w:pPr>
    </w:p>
    <w:p w14:paraId="01D77781" w14:textId="77777777" w:rsidR="00E5480F" w:rsidRPr="00F13A4F" w:rsidRDefault="00E5480F" w:rsidP="00E5480F">
      <w:pPr>
        <w:jc w:val="center"/>
        <w:rPr>
          <w:sz w:val="56"/>
        </w:rPr>
      </w:pPr>
    </w:p>
    <w:p w14:paraId="42104CDB" w14:textId="77777777" w:rsidR="00E5480F" w:rsidRPr="00F13A4F" w:rsidRDefault="00E5480F" w:rsidP="00E5480F">
      <w:pPr>
        <w:jc w:val="center"/>
        <w:rPr>
          <w:b/>
          <w:bCs/>
        </w:rPr>
      </w:pPr>
    </w:p>
    <w:p w14:paraId="101DC65A" w14:textId="195D708E" w:rsidR="00E5480F" w:rsidRDefault="00E5480F" w:rsidP="00E5480F">
      <w:pPr>
        <w:tabs>
          <w:tab w:val="left" w:pos="3060"/>
        </w:tabs>
        <w:jc w:val="center"/>
        <w:rPr>
          <w:b/>
          <w:sz w:val="56"/>
          <w:szCs w:val="52"/>
        </w:rPr>
      </w:pPr>
      <w:r w:rsidRPr="00E5480F">
        <w:rPr>
          <w:b/>
          <w:sz w:val="56"/>
          <w:szCs w:val="52"/>
        </w:rPr>
        <w:t xml:space="preserve">Pupil Premium </w:t>
      </w:r>
      <w:r w:rsidR="00927220">
        <w:rPr>
          <w:b/>
          <w:sz w:val="56"/>
          <w:szCs w:val="52"/>
        </w:rPr>
        <w:t xml:space="preserve">and Recovery Premium </w:t>
      </w:r>
      <w:r w:rsidRPr="00E5480F">
        <w:rPr>
          <w:b/>
          <w:sz w:val="56"/>
          <w:szCs w:val="52"/>
        </w:rPr>
        <w:t>Strategy Statement</w:t>
      </w:r>
      <w:r>
        <w:rPr>
          <w:b/>
          <w:sz w:val="56"/>
          <w:szCs w:val="52"/>
        </w:rPr>
        <w:t xml:space="preserve"> </w:t>
      </w:r>
    </w:p>
    <w:p w14:paraId="41FCFB54" w14:textId="77777777" w:rsidR="00E5480F" w:rsidRDefault="00E5480F" w:rsidP="00E5480F">
      <w:pPr>
        <w:tabs>
          <w:tab w:val="left" w:pos="3060"/>
        </w:tabs>
        <w:jc w:val="center"/>
        <w:rPr>
          <w:b/>
          <w:sz w:val="40"/>
          <w:szCs w:val="52"/>
        </w:rPr>
      </w:pPr>
    </w:p>
    <w:p w14:paraId="614F1E05" w14:textId="32109A52" w:rsidR="00E5480F" w:rsidRDefault="00E5480F" w:rsidP="00E5480F">
      <w:pPr>
        <w:tabs>
          <w:tab w:val="left" w:pos="3060"/>
        </w:tabs>
        <w:jc w:val="center"/>
        <w:rPr>
          <w:b/>
          <w:sz w:val="40"/>
          <w:szCs w:val="52"/>
        </w:rPr>
      </w:pPr>
      <w:r w:rsidRPr="00315517">
        <w:rPr>
          <w:b/>
          <w:sz w:val="40"/>
          <w:szCs w:val="52"/>
        </w:rPr>
        <w:t>T Painter</w:t>
      </w:r>
    </w:p>
    <w:p w14:paraId="333F8FEA" w14:textId="77777777" w:rsidR="00E5480F" w:rsidRDefault="00E5480F" w:rsidP="00E5480F">
      <w:pPr>
        <w:tabs>
          <w:tab w:val="left" w:pos="3060"/>
        </w:tabs>
        <w:jc w:val="center"/>
        <w:rPr>
          <w:b/>
          <w:sz w:val="40"/>
          <w:szCs w:val="52"/>
        </w:rPr>
      </w:pPr>
    </w:p>
    <w:p w14:paraId="2880E5A4" w14:textId="77777777" w:rsidR="00E5480F" w:rsidRDefault="00E5480F" w:rsidP="00E5480F">
      <w:pPr>
        <w:tabs>
          <w:tab w:val="left" w:pos="3060"/>
        </w:tabs>
        <w:jc w:val="center"/>
        <w:rPr>
          <w:b/>
          <w:sz w:val="40"/>
          <w:szCs w:val="52"/>
        </w:rPr>
      </w:pPr>
    </w:p>
    <w:p w14:paraId="73F6920D" w14:textId="77777777" w:rsidR="00E5480F" w:rsidRDefault="00E5480F" w:rsidP="00E5480F">
      <w:pPr>
        <w:tabs>
          <w:tab w:val="left" w:pos="3060"/>
        </w:tabs>
        <w:jc w:val="center"/>
        <w:rPr>
          <w:b/>
          <w:sz w:val="40"/>
          <w:szCs w:val="52"/>
        </w:rPr>
      </w:pPr>
    </w:p>
    <w:p w14:paraId="554DF5E1" w14:textId="2AD0EC9A" w:rsidR="00E5480F" w:rsidRPr="00315517" w:rsidRDefault="00E5480F" w:rsidP="00E5480F">
      <w:pPr>
        <w:tabs>
          <w:tab w:val="left" w:pos="3060"/>
        </w:tabs>
        <w:jc w:val="right"/>
        <w:rPr>
          <w:b/>
          <w:szCs w:val="52"/>
        </w:rPr>
      </w:pPr>
      <w:r w:rsidRPr="00315517">
        <w:rPr>
          <w:b/>
          <w:szCs w:val="52"/>
        </w:rPr>
        <w:t xml:space="preserve">Updated </w:t>
      </w:r>
      <w:r>
        <w:rPr>
          <w:b/>
          <w:szCs w:val="52"/>
        </w:rPr>
        <w:t>September 2023</w:t>
      </w:r>
    </w:p>
    <w:p w14:paraId="37D9FFC7" w14:textId="77777777" w:rsidR="00E5480F" w:rsidRDefault="00E5480F" w:rsidP="003D253E">
      <w:pPr>
        <w:spacing w:before="189"/>
        <w:ind w:left="112"/>
        <w:rPr>
          <w:sz w:val="24"/>
        </w:rPr>
      </w:pPr>
    </w:p>
    <w:p w14:paraId="3CED72B8" w14:textId="77777777" w:rsidR="00E5480F" w:rsidRDefault="00E5480F" w:rsidP="003D253E">
      <w:pPr>
        <w:spacing w:before="189"/>
        <w:ind w:left="112"/>
        <w:rPr>
          <w:sz w:val="24"/>
        </w:rPr>
      </w:pPr>
    </w:p>
    <w:p w14:paraId="27B0C931" w14:textId="77777777" w:rsidR="00E5480F" w:rsidRDefault="00E5480F" w:rsidP="003D253E">
      <w:pPr>
        <w:spacing w:before="189"/>
        <w:ind w:left="112"/>
        <w:rPr>
          <w:sz w:val="24"/>
        </w:rPr>
      </w:pPr>
    </w:p>
    <w:p w14:paraId="3CEE3502" w14:textId="4423245B" w:rsidR="00FF6C4B" w:rsidRDefault="0067012B" w:rsidP="003D253E">
      <w:pPr>
        <w:spacing w:before="189"/>
        <w:ind w:left="112"/>
        <w:rPr>
          <w:sz w:val="24"/>
        </w:rPr>
      </w:pPr>
      <w:r>
        <w:rPr>
          <w:sz w:val="24"/>
        </w:rPr>
        <w:t>This statement details our school’s use of pupil premium</w:t>
      </w:r>
      <w:r w:rsidR="003D253E">
        <w:rPr>
          <w:sz w:val="24"/>
        </w:rPr>
        <w:t xml:space="preserve"> for </w:t>
      </w:r>
      <w:r>
        <w:rPr>
          <w:sz w:val="24"/>
        </w:rPr>
        <w:t>the 202</w:t>
      </w:r>
      <w:r w:rsidR="00B727DB">
        <w:rPr>
          <w:sz w:val="24"/>
        </w:rPr>
        <w:t>3</w:t>
      </w:r>
      <w:r>
        <w:rPr>
          <w:sz w:val="24"/>
        </w:rPr>
        <w:t xml:space="preserve"> to</w:t>
      </w:r>
      <w:r w:rsidR="003D253E">
        <w:rPr>
          <w:sz w:val="24"/>
        </w:rPr>
        <w:t xml:space="preserve"> </w:t>
      </w:r>
      <w:r>
        <w:rPr>
          <w:sz w:val="24"/>
        </w:rPr>
        <w:t>202</w:t>
      </w:r>
      <w:r w:rsidR="00B727DB">
        <w:rPr>
          <w:sz w:val="24"/>
        </w:rPr>
        <w:t>4</w:t>
      </w:r>
      <w:r>
        <w:rPr>
          <w:sz w:val="24"/>
        </w:rPr>
        <w:t xml:space="preserve"> academic year to help improve the attainment of our disadvantaged pupils.</w:t>
      </w:r>
    </w:p>
    <w:p w14:paraId="1974562F" w14:textId="77777777" w:rsidR="00FF6C4B" w:rsidRDefault="00FF6C4B">
      <w:pPr>
        <w:spacing w:before="8"/>
        <w:rPr>
          <w:sz w:val="19"/>
        </w:rPr>
      </w:pPr>
    </w:p>
    <w:p w14:paraId="1F1B155B" w14:textId="77777777" w:rsidR="00FF6C4B" w:rsidRDefault="0067012B">
      <w:pPr>
        <w:ind w:left="112"/>
        <w:rPr>
          <w:sz w:val="24"/>
        </w:rPr>
      </w:pPr>
      <w:r>
        <w:rPr>
          <w:sz w:val="24"/>
        </w:rPr>
        <w:t xml:space="preserve">It outlines our pupil premium strategy, how we intend to spend the funding in this academic </w:t>
      </w:r>
      <w:proofErr w:type="gramStart"/>
      <w:r>
        <w:rPr>
          <w:sz w:val="24"/>
        </w:rPr>
        <w:t>year</w:t>
      </w:r>
      <w:proofErr w:type="gramEnd"/>
    </w:p>
    <w:p w14:paraId="6D0EF416" w14:textId="77777777" w:rsidR="00FF6C4B" w:rsidRDefault="0067012B">
      <w:pPr>
        <w:ind w:left="112"/>
        <w:rPr>
          <w:sz w:val="24"/>
        </w:rPr>
      </w:pPr>
      <w:r>
        <w:rPr>
          <w:sz w:val="24"/>
        </w:rPr>
        <w:t>and the effect that last year’s spending of pupil premium had within our school.</w:t>
      </w:r>
    </w:p>
    <w:p w14:paraId="71B6DA63" w14:textId="77777777" w:rsidR="00FF6C4B" w:rsidRDefault="00FF6C4B">
      <w:pPr>
        <w:rPr>
          <w:sz w:val="24"/>
        </w:rPr>
      </w:pPr>
    </w:p>
    <w:p w14:paraId="0EE50579" w14:textId="77777777" w:rsidR="00FF6C4B" w:rsidRDefault="0067012B">
      <w:pPr>
        <w:spacing w:before="187"/>
        <w:ind w:left="112"/>
        <w:rPr>
          <w:b/>
          <w:sz w:val="24"/>
        </w:rPr>
      </w:pPr>
      <w:r>
        <w:rPr>
          <w:b/>
          <w:color w:val="0F4F75"/>
          <w:sz w:val="24"/>
        </w:rPr>
        <w:t>School overview</w:t>
      </w:r>
    </w:p>
    <w:p w14:paraId="030FB007" w14:textId="77777777" w:rsidR="00FF6C4B" w:rsidRDefault="00FF6C4B">
      <w:pPr>
        <w:spacing w:before="8"/>
        <w:rPr>
          <w:b/>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0"/>
        <w:gridCol w:w="2970"/>
      </w:tblGrid>
      <w:tr w:rsidR="00FF6C4B" w14:paraId="272764B8" w14:textId="77777777">
        <w:trPr>
          <w:trHeight w:val="412"/>
        </w:trPr>
        <w:tc>
          <w:tcPr>
            <w:tcW w:w="6520" w:type="dxa"/>
            <w:shd w:val="clear" w:color="auto" w:fill="D7E1E9"/>
          </w:tcPr>
          <w:p w14:paraId="0BE0B172" w14:textId="77777777" w:rsidR="00FF6C4B" w:rsidRDefault="0067012B">
            <w:pPr>
              <w:pStyle w:val="TableParagraph"/>
              <w:rPr>
                <w:b/>
                <w:sz w:val="24"/>
              </w:rPr>
            </w:pPr>
            <w:r>
              <w:rPr>
                <w:b/>
                <w:color w:val="0D0D0D"/>
                <w:sz w:val="24"/>
              </w:rPr>
              <w:t>Detail</w:t>
            </w:r>
          </w:p>
        </w:tc>
        <w:tc>
          <w:tcPr>
            <w:tcW w:w="2970" w:type="dxa"/>
            <w:shd w:val="clear" w:color="auto" w:fill="D7E1E9"/>
          </w:tcPr>
          <w:p w14:paraId="46041F09" w14:textId="77777777" w:rsidR="00FF6C4B" w:rsidRDefault="0067012B">
            <w:pPr>
              <w:pStyle w:val="TableParagraph"/>
              <w:ind w:left="165"/>
              <w:rPr>
                <w:b/>
                <w:sz w:val="24"/>
              </w:rPr>
            </w:pPr>
            <w:r>
              <w:rPr>
                <w:b/>
                <w:color w:val="0D0D0D"/>
                <w:sz w:val="24"/>
              </w:rPr>
              <w:t>Data</w:t>
            </w:r>
          </w:p>
        </w:tc>
      </w:tr>
      <w:tr w:rsidR="00FF6C4B" w14:paraId="205FC960" w14:textId="77777777">
        <w:trPr>
          <w:trHeight w:val="412"/>
        </w:trPr>
        <w:tc>
          <w:tcPr>
            <w:tcW w:w="6520" w:type="dxa"/>
          </w:tcPr>
          <w:p w14:paraId="2D4FA3D6" w14:textId="77777777" w:rsidR="00FF6C4B" w:rsidRDefault="0067012B">
            <w:pPr>
              <w:pStyle w:val="TableParagraph"/>
              <w:rPr>
                <w:sz w:val="24"/>
              </w:rPr>
            </w:pPr>
            <w:r>
              <w:rPr>
                <w:color w:val="0D0D0D"/>
                <w:sz w:val="24"/>
              </w:rPr>
              <w:t>School name</w:t>
            </w:r>
          </w:p>
        </w:tc>
        <w:tc>
          <w:tcPr>
            <w:tcW w:w="2970" w:type="dxa"/>
          </w:tcPr>
          <w:p w14:paraId="634D1D09" w14:textId="77777777" w:rsidR="00FF6C4B" w:rsidRDefault="0067012B">
            <w:pPr>
              <w:pStyle w:val="TableParagraph"/>
              <w:ind w:left="165"/>
              <w:rPr>
                <w:sz w:val="24"/>
              </w:rPr>
            </w:pPr>
            <w:r>
              <w:rPr>
                <w:color w:val="0D0D0D"/>
                <w:sz w:val="24"/>
              </w:rPr>
              <w:t>Thomas Telford School</w:t>
            </w:r>
          </w:p>
        </w:tc>
      </w:tr>
      <w:tr w:rsidR="00A21FCD" w:rsidRPr="00A21FCD" w14:paraId="65D93C09" w14:textId="77777777">
        <w:trPr>
          <w:trHeight w:val="415"/>
        </w:trPr>
        <w:tc>
          <w:tcPr>
            <w:tcW w:w="6520" w:type="dxa"/>
          </w:tcPr>
          <w:p w14:paraId="15BD18F5" w14:textId="77777777" w:rsidR="00FF6C4B" w:rsidRPr="00A21FCD" w:rsidRDefault="0067012B">
            <w:pPr>
              <w:pStyle w:val="TableParagraph"/>
              <w:spacing w:before="62"/>
              <w:rPr>
                <w:sz w:val="24"/>
              </w:rPr>
            </w:pPr>
            <w:r w:rsidRPr="00A21FCD">
              <w:rPr>
                <w:sz w:val="24"/>
              </w:rPr>
              <w:t>Number of pupils in school</w:t>
            </w:r>
          </w:p>
        </w:tc>
        <w:tc>
          <w:tcPr>
            <w:tcW w:w="2970" w:type="dxa"/>
          </w:tcPr>
          <w:p w14:paraId="12732182" w14:textId="6748BB3C" w:rsidR="00FF6C4B" w:rsidRPr="00ED4494" w:rsidRDefault="00ED4494">
            <w:pPr>
              <w:pStyle w:val="TableParagraph"/>
              <w:spacing w:before="62"/>
              <w:ind w:left="165"/>
              <w:rPr>
                <w:sz w:val="24"/>
              </w:rPr>
            </w:pPr>
            <w:r>
              <w:rPr>
                <w:sz w:val="24"/>
              </w:rPr>
              <w:t>1604</w:t>
            </w:r>
          </w:p>
        </w:tc>
      </w:tr>
      <w:tr w:rsidR="00A21FCD" w:rsidRPr="00A21FCD" w14:paraId="41E80252" w14:textId="77777777">
        <w:trPr>
          <w:trHeight w:val="412"/>
        </w:trPr>
        <w:tc>
          <w:tcPr>
            <w:tcW w:w="6520" w:type="dxa"/>
          </w:tcPr>
          <w:p w14:paraId="59E10DDE" w14:textId="77777777" w:rsidR="00FF6C4B" w:rsidRPr="00A21FCD" w:rsidRDefault="0067012B">
            <w:pPr>
              <w:pStyle w:val="TableParagraph"/>
              <w:rPr>
                <w:sz w:val="24"/>
              </w:rPr>
            </w:pPr>
            <w:r w:rsidRPr="00A21FCD">
              <w:rPr>
                <w:sz w:val="24"/>
              </w:rPr>
              <w:t>Proportion (%) of pupil premium eligible pupils</w:t>
            </w:r>
          </w:p>
        </w:tc>
        <w:tc>
          <w:tcPr>
            <w:tcW w:w="2970" w:type="dxa"/>
          </w:tcPr>
          <w:p w14:paraId="29DDED5E" w14:textId="7F7B96DC" w:rsidR="00FF6C4B" w:rsidRPr="00ED4494" w:rsidRDefault="00ED4494">
            <w:pPr>
              <w:pStyle w:val="TableParagraph"/>
              <w:ind w:left="165"/>
              <w:rPr>
                <w:sz w:val="24"/>
              </w:rPr>
            </w:pPr>
            <w:r>
              <w:rPr>
                <w:sz w:val="24"/>
              </w:rPr>
              <w:t>10%</w:t>
            </w:r>
          </w:p>
        </w:tc>
      </w:tr>
      <w:tr w:rsidR="00A21FCD" w:rsidRPr="00A21FCD" w14:paraId="752ED08D" w14:textId="77777777">
        <w:trPr>
          <w:trHeight w:val="1118"/>
        </w:trPr>
        <w:tc>
          <w:tcPr>
            <w:tcW w:w="6520" w:type="dxa"/>
          </w:tcPr>
          <w:p w14:paraId="7CADCF17" w14:textId="77777777" w:rsidR="00FF6C4B" w:rsidRPr="00A21FCD" w:rsidRDefault="0067012B">
            <w:pPr>
              <w:pStyle w:val="TableParagraph"/>
              <w:ind w:right="317"/>
              <w:rPr>
                <w:sz w:val="24"/>
              </w:rPr>
            </w:pPr>
            <w:r w:rsidRPr="00A21FCD">
              <w:rPr>
                <w:sz w:val="24"/>
              </w:rPr>
              <w:t>Academic year/years that our current pupil premium strategy plan covers</w:t>
            </w:r>
          </w:p>
        </w:tc>
        <w:tc>
          <w:tcPr>
            <w:tcW w:w="2970" w:type="dxa"/>
          </w:tcPr>
          <w:p w14:paraId="32EE9440" w14:textId="1DEFA1A5" w:rsidR="00FF6C4B" w:rsidRPr="00A21FCD" w:rsidRDefault="0067012B">
            <w:pPr>
              <w:pStyle w:val="TableParagraph"/>
              <w:ind w:left="165"/>
              <w:rPr>
                <w:sz w:val="24"/>
              </w:rPr>
            </w:pPr>
            <w:r w:rsidRPr="00A21FCD">
              <w:rPr>
                <w:sz w:val="24"/>
              </w:rPr>
              <w:t>202</w:t>
            </w:r>
            <w:r w:rsidR="00B2323F">
              <w:rPr>
                <w:sz w:val="24"/>
              </w:rPr>
              <w:t>2</w:t>
            </w:r>
            <w:r w:rsidRPr="00A21FCD">
              <w:rPr>
                <w:sz w:val="24"/>
              </w:rPr>
              <w:t>-202</w:t>
            </w:r>
            <w:r w:rsidR="00B2323F">
              <w:rPr>
                <w:sz w:val="24"/>
              </w:rPr>
              <w:t>3</w:t>
            </w:r>
          </w:p>
          <w:p w14:paraId="52969068" w14:textId="472DD4D1" w:rsidR="00FF6C4B" w:rsidRPr="00A21FCD" w:rsidRDefault="0067012B" w:rsidP="00B2323F">
            <w:pPr>
              <w:pStyle w:val="TableParagraph"/>
              <w:spacing w:before="60"/>
              <w:ind w:left="165"/>
              <w:rPr>
                <w:sz w:val="24"/>
              </w:rPr>
            </w:pPr>
            <w:r w:rsidRPr="00A21FCD">
              <w:rPr>
                <w:sz w:val="24"/>
              </w:rPr>
              <w:t>202</w:t>
            </w:r>
            <w:r w:rsidR="00B2323F">
              <w:rPr>
                <w:sz w:val="24"/>
              </w:rPr>
              <w:t>3</w:t>
            </w:r>
            <w:r w:rsidRPr="00A21FCD">
              <w:rPr>
                <w:sz w:val="24"/>
              </w:rPr>
              <w:t>-202</w:t>
            </w:r>
            <w:r w:rsidR="00B2323F">
              <w:rPr>
                <w:sz w:val="24"/>
              </w:rPr>
              <w:t>4</w:t>
            </w:r>
          </w:p>
        </w:tc>
      </w:tr>
      <w:tr w:rsidR="00A21FCD" w:rsidRPr="00A21FCD" w14:paraId="7336FF87" w14:textId="77777777">
        <w:trPr>
          <w:trHeight w:val="412"/>
        </w:trPr>
        <w:tc>
          <w:tcPr>
            <w:tcW w:w="6520" w:type="dxa"/>
          </w:tcPr>
          <w:p w14:paraId="2003AB35" w14:textId="77777777" w:rsidR="00FF6C4B" w:rsidRPr="00A21FCD" w:rsidRDefault="0067012B">
            <w:pPr>
              <w:pStyle w:val="TableParagraph"/>
              <w:rPr>
                <w:sz w:val="24"/>
              </w:rPr>
            </w:pPr>
            <w:r w:rsidRPr="00A21FCD">
              <w:rPr>
                <w:sz w:val="24"/>
              </w:rPr>
              <w:t>Date this statement was published</w:t>
            </w:r>
          </w:p>
        </w:tc>
        <w:tc>
          <w:tcPr>
            <w:tcW w:w="2970" w:type="dxa"/>
          </w:tcPr>
          <w:p w14:paraId="47CBDF01" w14:textId="0AF2C2CE" w:rsidR="00FF6C4B" w:rsidRPr="00A21FCD" w:rsidRDefault="008F7700">
            <w:pPr>
              <w:pStyle w:val="TableParagraph"/>
              <w:ind w:left="165"/>
              <w:rPr>
                <w:sz w:val="24"/>
              </w:rPr>
            </w:pPr>
            <w:r w:rsidRPr="00A21FCD">
              <w:rPr>
                <w:sz w:val="24"/>
              </w:rPr>
              <w:t>01/11/202</w:t>
            </w:r>
            <w:r w:rsidR="00B2323F">
              <w:rPr>
                <w:sz w:val="24"/>
              </w:rPr>
              <w:t>3</w:t>
            </w:r>
            <w:r w:rsidRPr="00A21FCD">
              <w:rPr>
                <w:sz w:val="24"/>
              </w:rPr>
              <w:t xml:space="preserve"> </w:t>
            </w:r>
          </w:p>
        </w:tc>
      </w:tr>
      <w:tr w:rsidR="00A21FCD" w:rsidRPr="00A21FCD" w14:paraId="0304718E" w14:textId="77777777">
        <w:trPr>
          <w:trHeight w:val="414"/>
        </w:trPr>
        <w:tc>
          <w:tcPr>
            <w:tcW w:w="6520" w:type="dxa"/>
          </w:tcPr>
          <w:p w14:paraId="1FF5D9E7" w14:textId="77777777" w:rsidR="00FF6C4B" w:rsidRPr="00A21FCD" w:rsidRDefault="0067012B">
            <w:pPr>
              <w:pStyle w:val="TableParagraph"/>
              <w:spacing w:before="61"/>
              <w:rPr>
                <w:sz w:val="24"/>
              </w:rPr>
            </w:pPr>
            <w:r w:rsidRPr="00A21FCD">
              <w:rPr>
                <w:sz w:val="24"/>
              </w:rPr>
              <w:t>Date on which it will be reviewed</w:t>
            </w:r>
          </w:p>
        </w:tc>
        <w:tc>
          <w:tcPr>
            <w:tcW w:w="2970" w:type="dxa"/>
          </w:tcPr>
          <w:p w14:paraId="35B53023" w14:textId="48D6F892" w:rsidR="00FF6C4B" w:rsidRPr="00A21FCD" w:rsidRDefault="008F7700" w:rsidP="008F7700">
            <w:pPr>
              <w:pStyle w:val="TableParagraph"/>
              <w:spacing w:before="61"/>
              <w:ind w:left="0"/>
              <w:rPr>
                <w:sz w:val="24"/>
              </w:rPr>
            </w:pPr>
            <w:r w:rsidRPr="00A21FCD">
              <w:rPr>
                <w:sz w:val="24"/>
              </w:rPr>
              <w:t xml:space="preserve">   30/06/202</w:t>
            </w:r>
            <w:r w:rsidR="00B2323F">
              <w:rPr>
                <w:sz w:val="24"/>
              </w:rPr>
              <w:t>4</w:t>
            </w:r>
          </w:p>
        </w:tc>
      </w:tr>
      <w:tr w:rsidR="00A21FCD" w:rsidRPr="00A21FCD" w14:paraId="3078BF21" w14:textId="77777777">
        <w:trPr>
          <w:trHeight w:val="412"/>
        </w:trPr>
        <w:tc>
          <w:tcPr>
            <w:tcW w:w="6520" w:type="dxa"/>
          </w:tcPr>
          <w:p w14:paraId="5C8508F6" w14:textId="77777777" w:rsidR="00FF6C4B" w:rsidRPr="00A21FCD" w:rsidRDefault="0067012B">
            <w:pPr>
              <w:pStyle w:val="TableParagraph"/>
              <w:rPr>
                <w:sz w:val="24"/>
              </w:rPr>
            </w:pPr>
            <w:r w:rsidRPr="00A21FCD">
              <w:rPr>
                <w:sz w:val="24"/>
              </w:rPr>
              <w:t>Statement authorised by</w:t>
            </w:r>
          </w:p>
        </w:tc>
        <w:tc>
          <w:tcPr>
            <w:tcW w:w="2970" w:type="dxa"/>
          </w:tcPr>
          <w:p w14:paraId="76B59DEF" w14:textId="2AF40E4C" w:rsidR="00FF6C4B" w:rsidRPr="00A21FCD" w:rsidRDefault="00523E26">
            <w:pPr>
              <w:pStyle w:val="TableParagraph"/>
              <w:ind w:left="165"/>
              <w:rPr>
                <w:sz w:val="24"/>
              </w:rPr>
            </w:pPr>
            <w:r w:rsidRPr="00ED4494">
              <w:rPr>
                <w:sz w:val="24"/>
              </w:rPr>
              <w:t>Sir Kevin Satchwell</w:t>
            </w:r>
          </w:p>
        </w:tc>
      </w:tr>
      <w:tr w:rsidR="00FF6C4B" w:rsidRPr="00A21FCD" w14:paraId="1A9F7CF2" w14:textId="77777777">
        <w:trPr>
          <w:trHeight w:val="412"/>
        </w:trPr>
        <w:tc>
          <w:tcPr>
            <w:tcW w:w="6520" w:type="dxa"/>
          </w:tcPr>
          <w:p w14:paraId="23491EA5" w14:textId="77777777" w:rsidR="00FF6C4B" w:rsidRPr="00A21FCD" w:rsidRDefault="0067012B">
            <w:pPr>
              <w:pStyle w:val="TableParagraph"/>
              <w:rPr>
                <w:sz w:val="24"/>
              </w:rPr>
            </w:pPr>
            <w:r w:rsidRPr="00A21FCD">
              <w:rPr>
                <w:sz w:val="24"/>
              </w:rPr>
              <w:t>Pupil premium lead</w:t>
            </w:r>
          </w:p>
        </w:tc>
        <w:tc>
          <w:tcPr>
            <w:tcW w:w="2970" w:type="dxa"/>
          </w:tcPr>
          <w:p w14:paraId="4729689F" w14:textId="04E0FD69" w:rsidR="00FF6C4B" w:rsidRPr="00A21FCD" w:rsidRDefault="00DC7563">
            <w:pPr>
              <w:pStyle w:val="TableParagraph"/>
              <w:ind w:left="165"/>
              <w:rPr>
                <w:sz w:val="24"/>
              </w:rPr>
            </w:pPr>
            <w:r>
              <w:rPr>
                <w:sz w:val="24"/>
              </w:rPr>
              <w:t>Tom Painter</w:t>
            </w:r>
          </w:p>
        </w:tc>
      </w:tr>
    </w:tbl>
    <w:p w14:paraId="738919F1" w14:textId="77777777" w:rsidR="00FF6C4B" w:rsidRPr="00A21FCD" w:rsidRDefault="00FF6C4B">
      <w:pPr>
        <w:rPr>
          <w:b/>
          <w:sz w:val="24"/>
        </w:rPr>
      </w:pPr>
    </w:p>
    <w:p w14:paraId="6DB51E12" w14:textId="0D73EBB4" w:rsidR="00FF6C4B" w:rsidRPr="00A21FCD" w:rsidRDefault="0067012B">
      <w:pPr>
        <w:spacing w:before="186"/>
        <w:ind w:left="112"/>
        <w:rPr>
          <w:b/>
          <w:sz w:val="24"/>
        </w:rPr>
      </w:pPr>
      <w:r w:rsidRPr="00A21FCD">
        <w:rPr>
          <w:b/>
          <w:sz w:val="24"/>
        </w:rPr>
        <w:t>Funding overview</w:t>
      </w:r>
      <w:r w:rsidR="00E3212D" w:rsidRPr="00A21FCD">
        <w:rPr>
          <w:b/>
          <w:sz w:val="24"/>
        </w:rPr>
        <w:t>: 2022-2023</w:t>
      </w:r>
    </w:p>
    <w:p w14:paraId="584F8B8E" w14:textId="77777777" w:rsidR="00FF6C4B" w:rsidRPr="00A21FCD" w:rsidRDefault="00FF6C4B">
      <w:pPr>
        <w:spacing w:before="8" w:after="1"/>
        <w:rPr>
          <w:b/>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2971"/>
      </w:tblGrid>
      <w:tr w:rsidR="00A21FCD" w:rsidRPr="00A21FCD" w14:paraId="3578EDAA" w14:textId="77777777">
        <w:trPr>
          <w:trHeight w:val="414"/>
        </w:trPr>
        <w:tc>
          <w:tcPr>
            <w:tcW w:w="6517" w:type="dxa"/>
            <w:shd w:val="clear" w:color="auto" w:fill="D7E1E9"/>
          </w:tcPr>
          <w:p w14:paraId="7EA99987" w14:textId="77777777" w:rsidR="00FF6C4B" w:rsidRPr="00A21FCD" w:rsidRDefault="0067012B">
            <w:pPr>
              <w:pStyle w:val="TableParagraph"/>
              <w:spacing w:before="61"/>
              <w:rPr>
                <w:b/>
                <w:sz w:val="24"/>
              </w:rPr>
            </w:pPr>
            <w:r w:rsidRPr="00A21FCD">
              <w:rPr>
                <w:b/>
                <w:sz w:val="24"/>
              </w:rPr>
              <w:t>Detail</w:t>
            </w:r>
          </w:p>
        </w:tc>
        <w:tc>
          <w:tcPr>
            <w:tcW w:w="2971" w:type="dxa"/>
            <w:shd w:val="clear" w:color="auto" w:fill="D7E1E9"/>
          </w:tcPr>
          <w:p w14:paraId="4B73D32B" w14:textId="77777777" w:rsidR="00FF6C4B" w:rsidRPr="00A21FCD" w:rsidRDefault="0067012B">
            <w:pPr>
              <w:pStyle w:val="TableParagraph"/>
              <w:spacing w:before="61"/>
              <w:rPr>
                <w:b/>
                <w:sz w:val="24"/>
              </w:rPr>
            </w:pPr>
            <w:r w:rsidRPr="00A21FCD">
              <w:rPr>
                <w:b/>
                <w:sz w:val="24"/>
              </w:rPr>
              <w:t>Amount</w:t>
            </w:r>
          </w:p>
        </w:tc>
      </w:tr>
      <w:tr w:rsidR="00A21FCD" w:rsidRPr="00A21FCD" w14:paraId="6B241B00" w14:textId="77777777">
        <w:trPr>
          <w:trHeight w:val="412"/>
        </w:trPr>
        <w:tc>
          <w:tcPr>
            <w:tcW w:w="6517" w:type="dxa"/>
          </w:tcPr>
          <w:p w14:paraId="7B4272D0" w14:textId="77777777" w:rsidR="00FF6C4B" w:rsidRPr="00A21FCD" w:rsidRDefault="0067012B">
            <w:pPr>
              <w:pStyle w:val="TableParagraph"/>
              <w:rPr>
                <w:sz w:val="24"/>
              </w:rPr>
            </w:pPr>
            <w:r w:rsidRPr="00A21FCD">
              <w:rPr>
                <w:sz w:val="24"/>
              </w:rPr>
              <w:t>Pupil premium funding allocation this academic year</w:t>
            </w:r>
          </w:p>
        </w:tc>
        <w:tc>
          <w:tcPr>
            <w:tcW w:w="2971" w:type="dxa"/>
          </w:tcPr>
          <w:p w14:paraId="3F3B9085" w14:textId="70A0167F" w:rsidR="00FF6C4B" w:rsidRPr="00A21FCD" w:rsidRDefault="0067012B">
            <w:pPr>
              <w:pStyle w:val="TableParagraph"/>
              <w:rPr>
                <w:sz w:val="24"/>
              </w:rPr>
            </w:pPr>
            <w:r w:rsidRPr="00A21FCD">
              <w:rPr>
                <w:sz w:val="24"/>
              </w:rPr>
              <w:t>£1</w:t>
            </w:r>
            <w:r w:rsidR="00111EA7" w:rsidRPr="00A21FCD">
              <w:rPr>
                <w:sz w:val="24"/>
              </w:rPr>
              <w:t>2</w:t>
            </w:r>
            <w:r w:rsidR="00B727DB">
              <w:rPr>
                <w:sz w:val="24"/>
              </w:rPr>
              <w:t>7</w:t>
            </w:r>
            <w:r w:rsidR="00111EA7" w:rsidRPr="00A21FCD">
              <w:rPr>
                <w:sz w:val="24"/>
              </w:rPr>
              <w:t>,</w:t>
            </w:r>
            <w:r w:rsidR="00B727DB">
              <w:rPr>
                <w:sz w:val="24"/>
              </w:rPr>
              <w:t>2</w:t>
            </w:r>
            <w:r w:rsidR="00111EA7" w:rsidRPr="00A21FCD">
              <w:rPr>
                <w:sz w:val="24"/>
              </w:rPr>
              <w:t>00</w:t>
            </w:r>
          </w:p>
        </w:tc>
      </w:tr>
      <w:tr w:rsidR="00A21FCD" w:rsidRPr="00A21FCD" w14:paraId="670CDC16" w14:textId="77777777">
        <w:trPr>
          <w:trHeight w:val="412"/>
        </w:trPr>
        <w:tc>
          <w:tcPr>
            <w:tcW w:w="6517" w:type="dxa"/>
          </w:tcPr>
          <w:p w14:paraId="632CC349" w14:textId="77777777" w:rsidR="00FF6C4B" w:rsidRPr="00A21FCD" w:rsidRDefault="0067012B">
            <w:pPr>
              <w:pStyle w:val="TableParagraph"/>
              <w:rPr>
                <w:sz w:val="24"/>
              </w:rPr>
            </w:pPr>
            <w:r w:rsidRPr="00A21FCD">
              <w:rPr>
                <w:sz w:val="24"/>
              </w:rPr>
              <w:t>Recovery premium funding allocation this academic year</w:t>
            </w:r>
          </w:p>
        </w:tc>
        <w:tc>
          <w:tcPr>
            <w:tcW w:w="2971" w:type="dxa"/>
          </w:tcPr>
          <w:p w14:paraId="474CC420" w14:textId="03177F13" w:rsidR="00FF6C4B" w:rsidRPr="00A21FCD" w:rsidRDefault="0067012B">
            <w:pPr>
              <w:pStyle w:val="TableParagraph"/>
              <w:rPr>
                <w:sz w:val="24"/>
              </w:rPr>
            </w:pPr>
            <w:r w:rsidRPr="00A21FCD">
              <w:rPr>
                <w:sz w:val="24"/>
              </w:rPr>
              <w:t>£</w:t>
            </w:r>
            <w:r w:rsidR="00B70FF8">
              <w:rPr>
                <w:sz w:val="24"/>
              </w:rPr>
              <w:t>34</w:t>
            </w:r>
            <w:r w:rsidR="00111EA7" w:rsidRPr="00A21FCD">
              <w:rPr>
                <w:sz w:val="24"/>
              </w:rPr>
              <w:t>,</w:t>
            </w:r>
            <w:r w:rsidR="00B70FF8">
              <w:rPr>
                <w:sz w:val="24"/>
              </w:rPr>
              <w:t>5</w:t>
            </w:r>
            <w:r w:rsidR="00B727DB">
              <w:rPr>
                <w:sz w:val="24"/>
              </w:rPr>
              <w:t>0</w:t>
            </w:r>
            <w:r w:rsidR="00111EA7" w:rsidRPr="00A21FCD">
              <w:rPr>
                <w:sz w:val="24"/>
              </w:rPr>
              <w:t>0</w:t>
            </w:r>
          </w:p>
        </w:tc>
      </w:tr>
      <w:tr w:rsidR="00A21FCD" w:rsidRPr="00A21FCD" w14:paraId="27D66A06" w14:textId="77777777">
        <w:trPr>
          <w:trHeight w:val="705"/>
        </w:trPr>
        <w:tc>
          <w:tcPr>
            <w:tcW w:w="6517" w:type="dxa"/>
          </w:tcPr>
          <w:p w14:paraId="73641760" w14:textId="77777777" w:rsidR="00FF6C4B" w:rsidRPr="00A21FCD" w:rsidRDefault="0067012B">
            <w:pPr>
              <w:pStyle w:val="TableParagraph"/>
              <w:ind w:right="514"/>
              <w:rPr>
                <w:sz w:val="24"/>
              </w:rPr>
            </w:pPr>
            <w:r w:rsidRPr="00A21FCD">
              <w:rPr>
                <w:sz w:val="24"/>
              </w:rPr>
              <w:t>Pupil premium funding carried forward from previous years (enter £0 if not applicable)</w:t>
            </w:r>
          </w:p>
        </w:tc>
        <w:tc>
          <w:tcPr>
            <w:tcW w:w="2971" w:type="dxa"/>
          </w:tcPr>
          <w:p w14:paraId="61E1A07B" w14:textId="77777777" w:rsidR="00FF6C4B" w:rsidRPr="00A21FCD" w:rsidRDefault="0067012B">
            <w:pPr>
              <w:pStyle w:val="TableParagraph"/>
              <w:rPr>
                <w:sz w:val="24"/>
              </w:rPr>
            </w:pPr>
            <w:r w:rsidRPr="00A21FCD">
              <w:rPr>
                <w:sz w:val="24"/>
              </w:rPr>
              <w:t>£0</w:t>
            </w:r>
          </w:p>
        </w:tc>
      </w:tr>
      <w:tr w:rsidR="00A21FCD" w:rsidRPr="00A21FCD" w14:paraId="52BE617A" w14:textId="77777777">
        <w:trPr>
          <w:trHeight w:val="1061"/>
        </w:trPr>
        <w:tc>
          <w:tcPr>
            <w:tcW w:w="6517" w:type="dxa"/>
          </w:tcPr>
          <w:p w14:paraId="67AE2BC3" w14:textId="77777777" w:rsidR="00FF6C4B" w:rsidRPr="00A21FCD" w:rsidRDefault="0067012B">
            <w:pPr>
              <w:pStyle w:val="TableParagraph"/>
              <w:spacing w:before="61"/>
              <w:rPr>
                <w:b/>
                <w:sz w:val="24"/>
              </w:rPr>
            </w:pPr>
            <w:r w:rsidRPr="00A21FCD">
              <w:rPr>
                <w:b/>
                <w:sz w:val="24"/>
              </w:rPr>
              <w:t>Total budget for this academic year</w:t>
            </w:r>
          </w:p>
          <w:p w14:paraId="1FD1D1E6" w14:textId="77777777" w:rsidR="00FF6C4B" w:rsidRPr="00A21FCD" w:rsidRDefault="0067012B">
            <w:pPr>
              <w:pStyle w:val="TableParagraph"/>
              <w:spacing w:before="61"/>
              <w:ind w:right="340"/>
              <w:rPr>
                <w:sz w:val="24"/>
              </w:rPr>
            </w:pPr>
            <w:r w:rsidRPr="00A21FCD">
              <w:rPr>
                <w:sz w:val="24"/>
              </w:rPr>
              <w:t>If your school is an academy in a trust that pools this funding, state the amount available to your school this academic year</w:t>
            </w:r>
          </w:p>
        </w:tc>
        <w:tc>
          <w:tcPr>
            <w:tcW w:w="2971" w:type="dxa"/>
          </w:tcPr>
          <w:p w14:paraId="4F6E3A46" w14:textId="3F8BE4E1" w:rsidR="00FF6C4B" w:rsidRPr="00A21FCD" w:rsidRDefault="0067012B">
            <w:pPr>
              <w:pStyle w:val="TableParagraph"/>
              <w:spacing w:before="61"/>
              <w:rPr>
                <w:sz w:val="24"/>
              </w:rPr>
            </w:pPr>
            <w:r w:rsidRPr="00A21FCD">
              <w:rPr>
                <w:sz w:val="24"/>
              </w:rPr>
              <w:t>£1</w:t>
            </w:r>
            <w:r w:rsidR="00B70FF8">
              <w:rPr>
                <w:sz w:val="24"/>
              </w:rPr>
              <w:t>61,700</w:t>
            </w:r>
          </w:p>
        </w:tc>
      </w:tr>
    </w:tbl>
    <w:p w14:paraId="6CAE5B30" w14:textId="77777777" w:rsidR="00FF6C4B" w:rsidRDefault="00FF6C4B">
      <w:pPr>
        <w:rPr>
          <w:sz w:val="24"/>
        </w:rPr>
        <w:sectPr w:rsidR="00FF6C4B" w:rsidSect="00BE7C4D">
          <w:footerReference w:type="default" r:id="rId9"/>
          <w:type w:val="continuous"/>
          <w:pgSz w:w="11910" w:h="16840"/>
          <w:pgMar w:top="1080" w:right="1160" w:bottom="880" w:left="1020" w:header="720" w:footer="696" w:gutter="0"/>
          <w:pgNumType w:start="1"/>
          <w:cols w:space="720"/>
        </w:sectPr>
      </w:pPr>
    </w:p>
    <w:p w14:paraId="0A8214FC" w14:textId="3B6BBCBF" w:rsidR="00B07C8B" w:rsidRDefault="0067012B" w:rsidP="00B07C8B">
      <w:pPr>
        <w:spacing w:before="34" w:line="636" w:lineRule="auto"/>
        <w:ind w:left="112" w:right="6034"/>
        <w:rPr>
          <w:b/>
          <w:color w:val="0F4F75"/>
          <w:sz w:val="24"/>
        </w:rPr>
      </w:pPr>
      <w:r>
        <w:rPr>
          <w:b/>
          <w:color w:val="0F4F75"/>
          <w:sz w:val="24"/>
        </w:rPr>
        <w:lastRenderedPageBreak/>
        <w:t xml:space="preserve">Part A: Pupil premium strategy plan </w:t>
      </w:r>
    </w:p>
    <w:p w14:paraId="141635AA" w14:textId="4FF5C5DE" w:rsidR="00E5480F" w:rsidRPr="00E5480F" w:rsidRDefault="0067012B" w:rsidP="00E5480F">
      <w:pPr>
        <w:spacing w:before="34" w:line="636" w:lineRule="auto"/>
        <w:ind w:left="112" w:right="6034"/>
        <w:rPr>
          <w:b/>
          <w:color w:val="0F4F75"/>
          <w:sz w:val="24"/>
        </w:rPr>
      </w:pPr>
      <w:r>
        <w:rPr>
          <w:b/>
          <w:color w:val="0F4F75"/>
          <w:sz w:val="24"/>
        </w:rPr>
        <w:t>Statement of intent</w:t>
      </w:r>
    </w:p>
    <w:p w14:paraId="5F019CEF" w14:textId="247494F9" w:rsidR="00FF6C4B" w:rsidRDefault="00B07C8B">
      <w:pPr>
        <w:rPr>
          <w:b/>
          <w:sz w:val="20"/>
        </w:rPr>
      </w:pPr>
      <w:r>
        <w:rPr>
          <w:noProof/>
        </w:rPr>
        <mc:AlternateContent>
          <mc:Choice Requires="wps">
            <w:drawing>
              <wp:anchor distT="0" distB="0" distL="114300" distR="114300" simplePos="0" relativeHeight="251029504" behindDoc="1" locked="0" layoutInCell="1" allowOverlap="1" wp14:anchorId="26D6FBA1" wp14:editId="7046660B">
                <wp:simplePos x="0" y="0"/>
                <wp:positionH relativeFrom="page">
                  <wp:posOffset>722630</wp:posOffset>
                </wp:positionH>
                <wp:positionV relativeFrom="paragraph">
                  <wp:posOffset>151765</wp:posOffset>
                </wp:positionV>
                <wp:extent cx="6026150" cy="1797685"/>
                <wp:effectExtent l="0" t="0" r="635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6150" cy="1797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EA212B" w14:textId="22B4A899" w:rsidR="00FF6C4B" w:rsidRDefault="00E5480F">
                            <w:pPr>
                              <w:pStyle w:val="BodyText"/>
                              <w:spacing w:before="119" w:line="288" w:lineRule="auto"/>
                              <w:ind w:left="106" w:right="64"/>
                            </w:pPr>
                            <w:r>
                              <w:rPr>
                                <w:color w:val="0D0D0D"/>
                              </w:rPr>
                              <w:t xml:space="preserve"> </w:t>
                            </w:r>
                            <w:r w:rsidR="0067012B">
                              <w:rPr>
                                <w:color w:val="0D0D0D"/>
                              </w:rPr>
                              <w:t>At Thomas Telford School our intention is to minimise all barriers that can affect the learning of students. Nationally, there is a widening gap between the achievements of Disadvantaged Students, and their peers who are not Disadvantaged. The Pupil Premium fund was introduced in April 2011 to attempt to support schools in reducing this gap, but there has been no overall improvement to date</w:t>
                            </w:r>
                            <w:r w:rsidR="00244440">
                              <w:rPr>
                                <w:color w:val="0D0D0D"/>
                              </w:rPr>
                              <w:t xml:space="preserve"> nationally</w:t>
                            </w:r>
                            <w:r w:rsidR="0067012B">
                              <w:rPr>
                                <w:color w:val="0D0D0D"/>
                              </w:rPr>
                              <w:t xml:space="preserve">, despite the allocation of well over £10 billion. Nonetheless, we </w:t>
                            </w:r>
                            <w:r w:rsidR="00244440">
                              <w:rPr>
                                <w:color w:val="0D0D0D"/>
                              </w:rPr>
                              <w:t xml:space="preserve">successfully </w:t>
                            </w:r>
                            <w:r w:rsidR="0067012B">
                              <w:rPr>
                                <w:color w:val="0D0D0D"/>
                              </w:rPr>
                              <w:t>strive to eradicate the gap between our disadvantaged students and their non-disadvantaged peers</w:t>
                            </w:r>
                            <w:r w:rsidR="00B3446C">
                              <w:rPr>
                                <w:color w:val="0D0D0D"/>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FBA1" id="_x0000_t202" coordsize="21600,21600" o:spt="202" path="m,l,21600r21600,l21600,xe">
                <v:stroke joinstyle="miter"/>
                <v:path gradientshapeok="t" o:connecttype="rect"/>
              </v:shapetype>
              <v:shape id="Text Box 3" o:spid="_x0000_s1026" type="#_x0000_t202" style="position:absolute;margin-left:56.9pt;margin-top:11.95pt;width:474.5pt;height:141.55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" filled="f" strokeweight=".48pt">
                <v:path arrowok="t"/>
                <v:textbox inset="0,0,0,0">
                  <w:txbxContent>
                    <w:p w14:paraId="2FEA212B" w14:textId="22B4A899" w:rsidR="00FF6C4B" w:rsidRDefault="00E5480F">
                      <w:pPr>
                        <w:pStyle w:val="BodyText"/>
                        <w:spacing w:before="119" w:line="288" w:lineRule="auto"/>
                        <w:ind w:left="106" w:right="64"/>
                      </w:pPr>
                      <w:r>
                        <w:rPr>
                          <w:color w:val="0D0D0D"/>
                        </w:rPr>
                        <w:t xml:space="preserve"> </w:t>
                      </w:r>
                      <w:r w:rsidR="0067012B">
                        <w:rPr>
                          <w:color w:val="0D0D0D"/>
                        </w:rPr>
                        <w:t>At Thomas Telford School our intention is to minimise all barriers that can affect the learning of students. Nationally, there is a widening gap between the achievements of Disadvantaged Students, and their peers who are not Disadvantaged. The Pupil Premium fund was introduced in April 2011 to attempt to support schools in reducing this gap, but there has been no overall improvement to date</w:t>
                      </w:r>
                      <w:r w:rsidR="00244440">
                        <w:rPr>
                          <w:color w:val="0D0D0D"/>
                        </w:rPr>
                        <w:t xml:space="preserve"> nationally</w:t>
                      </w:r>
                      <w:r w:rsidR="0067012B">
                        <w:rPr>
                          <w:color w:val="0D0D0D"/>
                        </w:rPr>
                        <w:t xml:space="preserve">, despite the allocation of well over £10 billion. Nonetheless, we </w:t>
                      </w:r>
                      <w:r w:rsidR="00244440">
                        <w:rPr>
                          <w:color w:val="0D0D0D"/>
                        </w:rPr>
                        <w:t xml:space="preserve">successfully </w:t>
                      </w:r>
                      <w:r w:rsidR="0067012B">
                        <w:rPr>
                          <w:color w:val="0D0D0D"/>
                        </w:rPr>
                        <w:t>strive to eradicate the gap between our disadvantaged students and their non-disadvantaged peers</w:t>
                      </w:r>
                      <w:r w:rsidR="00B3446C">
                        <w:rPr>
                          <w:color w:val="0D0D0D"/>
                        </w:rPr>
                        <w:t>.</w:t>
                      </w:r>
                    </w:p>
                  </w:txbxContent>
                </v:textbox>
                <w10:wrap anchorx="page"/>
              </v:shape>
            </w:pict>
          </mc:Fallback>
        </mc:AlternateContent>
      </w:r>
    </w:p>
    <w:p w14:paraId="5BEE6499" w14:textId="34FB7F9A" w:rsidR="00FF6C4B" w:rsidRDefault="00FF6C4B">
      <w:pPr>
        <w:rPr>
          <w:b/>
          <w:sz w:val="20"/>
        </w:rPr>
      </w:pPr>
    </w:p>
    <w:p w14:paraId="63963160" w14:textId="42BF5B0D" w:rsidR="00FF6C4B" w:rsidRDefault="00FF6C4B">
      <w:pPr>
        <w:rPr>
          <w:b/>
          <w:sz w:val="20"/>
        </w:rPr>
      </w:pPr>
    </w:p>
    <w:p w14:paraId="13F10A04" w14:textId="77777777" w:rsidR="00FF6C4B" w:rsidRDefault="00FF6C4B">
      <w:pPr>
        <w:rPr>
          <w:b/>
          <w:sz w:val="20"/>
        </w:rPr>
      </w:pPr>
    </w:p>
    <w:p w14:paraId="211A02A3" w14:textId="77777777" w:rsidR="00FF6C4B" w:rsidRDefault="00FF6C4B">
      <w:pPr>
        <w:rPr>
          <w:b/>
          <w:sz w:val="20"/>
        </w:rPr>
      </w:pPr>
    </w:p>
    <w:p w14:paraId="7DE3F01E" w14:textId="77777777" w:rsidR="00FF6C4B" w:rsidRDefault="00FF6C4B">
      <w:pPr>
        <w:rPr>
          <w:b/>
          <w:sz w:val="20"/>
        </w:rPr>
      </w:pPr>
    </w:p>
    <w:p w14:paraId="2C7FA4FD" w14:textId="77777777" w:rsidR="00FF6C4B" w:rsidRDefault="00FF6C4B">
      <w:pPr>
        <w:rPr>
          <w:b/>
          <w:sz w:val="20"/>
        </w:rPr>
      </w:pPr>
    </w:p>
    <w:p w14:paraId="37E93B94" w14:textId="77777777" w:rsidR="00FF6C4B" w:rsidRDefault="00FF6C4B">
      <w:pPr>
        <w:rPr>
          <w:b/>
          <w:sz w:val="20"/>
        </w:rPr>
      </w:pPr>
    </w:p>
    <w:p w14:paraId="099F630D" w14:textId="77777777" w:rsidR="00FF6C4B" w:rsidRDefault="00FF6C4B">
      <w:pPr>
        <w:rPr>
          <w:b/>
          <w:sz w:val="20"/>
        </w:rPr>
      </w:pPr>
    </w:p>
    <w:p w14:paraId="42A7ABBC" w14:textId="77777777" w:rsidR="00FF6C4B" w:rsidRDefault="00FF6C4B">
      <w:pPr>
        <w:rPr>
          <w:b/>
          <w:sz w:val="20"/>
        </w:rPr>
      </w:pPr>
    </w:p>
    <w:p w14:paraId="3574261C" w14:textId="77777777" w:rsidR="00FF6C4B" w:rsidRDefault="00FF6C4B">
      <w:pPr>
        <w:rPr>
          <w:b/>
          <w:sz w:val="20"/>
        </w:rPr>
      </w:pPr>
    </w:p>
    <w:p w14:paraId="43E6DFB5" w14:textId="77777777" w:rsidR="00FF6C4B" w:rsidRDefault="00FF6C4B">
      <w:pPr>
        <w:rPr>
          <w:b/>
          <w:sz w:val="20"/>
        </w:rPr>
      </w:pPr>
    </w:p>
    <w:p w14:paraId="0B20ECF0" w14:textId="77777777" w:rsidR="00FF6C4B" w:rsidRDefault="00FF6C4B">
      <w:pPr>
        <w:spacing w:before="6"/>
        <w:rPr>
          <w:b/>
          <w:sz w:val="17"/>
        </w:rPr>
      </w:pPr>
    </w:p>
    <w:p w14:paraId="7676053B" w14:textId="77777777" w:rsidR="00B07C8B" w:rsidRDefault="00B07C8B" w:rsidP="00817CB5">
      <w:pPr>
        <w:spacing w:before="52"/>
        <w:ind w:left="112"/>
        <w:rPr>
          <w:b/>
          <w:color w:val="0F4F75"/>
          <w:sz w:val="24"/>
        </w:rPr>
      </w:pPr>
    </w:p>
    <w:p w14:paraId="0C5409D4" w14:textId="77777777" w:rsidR="00B07C8B" w:rsidRDefault="00B07C8B" w:rsidP="00817CB5">
      <w:pPr>
        <w:spacing w:before="52"/>
        <w:ind w:left="112"/>
        <w:rPr>
          <w:b/>
          <w:color w:val="0F4F75"/>
          <w:sz w:val="24"/>
        </w:rPr>
      </w:pPr>
    </w:p>
    <w:p w14:paraId="657465FB" w14:textId="28B3947B" w:rsidR="00817CB5" w:rsidRDefault="00817CB5" w:rsidP="00817CB5">
      <w:pPr>
        <w:spacing w:before="52"/>
        <w:ind w:left="112"/>
        <w:rPr>
          <w:b/>
          <w:sz w:val="24"/>
        </w:rPr>
      </w:pPr>
      <w:r>
        <w:rPr>
          <w:b/>
          <w:color w:val="0F4F75"/>
          <w:sz w:val="24"/>
        </w:rPr>
        <w:t>Challenges</w:t>
      </w:r>
    </w:p>
    <w:p w14:paraId="3D7940E6" w14:textId="77777777" w:rsidR="00817CB5" w:rsidRDefault="00817CB5" w:rsidP="00817CB5">
      <w:pPr>
        <w:spacing w:before="8"/>
        <w:rPr>
          <w:b/>
          <w:sz w:val="19"/>
        </w:rPr>
      </w:pPr>
    </w:p>
    <w:p w14:paraId="6FBB94EA" w14:textId="6D461A25" w:rsidR="00817CB5" w:rsidRDefault="00817CB5" w:rsidP="00817CB5">
      <w:pPr>
        <w:spacing w:line="242" w:lineRule="auto"/>
        <w:ind w:left="112" w:right="173"/>
        <w:rPr>
          <w:sz w:val="24"/>
        </w:rPr>
      </w:pPr>
      <w:r>
        <w:rPr>
          <w:sz w:val="24"/>
        </w:rPr>
        <w:t xml:space="preserve">This details the key challenges to achievement that we identified among our disadvantaged pupils for </w:t>
      </w:r>
      <w:r w:rsidRPr="00817CB5">
        <w:rPr>
          <w:b/>
          <w:bCs/>
          <w:sz w:val="24"/>
        </w:rPr>
        <w:t>the previous academic year: 202</w:t>
      </w:r>
      <w:r w:rsidR="008D373F">
        <w:rPr>
          <w:b/>
          <w:bCs/>
          <w:sz w:val="24"/>
        </w:rPr>
        <w:t>2</w:t>
      </w:r>
      <w:r w:rsidRPr="00817CB5">
        <w:rPr>
          <w:b/>
          <w:bCs/>
          <w:sz w:val="24"/>
        </w:rPr>
        <w:t>-202</w:t>
      </w:r>
      <w:r w:rsidR="008D373F">
        <w:rPr>
          <w:b/>
          <w:bCs/>
          <w:sz w:val="24"/>
        </w:rPr>
        <w:t>3</w:t>
      </w:r>
      <w:r w:rsidRPr="00817CB5">
        <w:rPr>
          <w:b/>
          <w:bCs/>
          <w:sz w:val="24"/>
        </w:rPr>
        <w:t>.</w:t>
      </w:r>
    </w:p>
    <w:p w14:paraId="0A4CBB4A" w14:textId="77777777" w:rsidR="00817CB5" w:rsidRDefault="00817CB5" w:rsidP="00817CB5">
      <w:pPr>
        <w:spacing w:before="4" w:after="1"/>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
        <w:gridCol w:w="8011"/>
      </w:tblGrid>
      <w:tr w:rsidR="00817CB5" w14:paraId="4CE39963" w14:textId="77777777" w:rsidTr="005A2AAA">
        <w:trPr>
          <w:trHeight w:val="705"/>
        </w:trPr>
        <w:tc>
          <w:tcPr>
            <w:tcW w:w="1479" w:type="dxa"/>
            <w:shd w:val="clear" w:color="auto" w:fill="D7E1E9"/>
          </w:tcPr>
          <w:p w14:paraId="3CB9B71C" w14:textId="77777777" w:rsidR="00817CB5" w:rsidRDefault="00817CB5" w:rsidP="005A2AAA">
            <w:pPr>
              <w:pStyle w:val="TableParagraph"/>
              <w:ind w:right="304"/>
              <w:rPr>
                <w:b/>
                <w:sz w:val="24"/>
              </w:rPr>
            </w:pPr>
            <w:r>
              <w:rPr>
                <w:b/>
                <w:color w:val="0D0D0D"/>
                <w:sz w:val="24"/>
              </w:rPr>
              <w:t>Challenge number</w:t>
            </w:r>
          </w:p>
        </w:tc>
        <w:tc>
          <w:tcPr>
            <w:tcW w:w="8011" w:type="dxa"/>
            <w:shd w:val="clear" w:color="auto" w:fill="D7E1E9"/>
          </w:tcPr>
          <w:p w14:paraId="3BB293F9" w14:textId="77777777" w:rsidR="00817CB5" w:rsidRDefault="00817CB5" w:rsidP="005A2AAA">
            <w:pPr>
              <w:pStyle w:val="TableParagraph"/>
              <w:ind w:left="165"/>
              <w:rPr>
                <w:b/>
                <w:sz w:val="24"/>
              </w:rPr>
            </w:pPr>
            <w:r>
              <w:rPr>
                <w:b/>
                <w:color w:val="0D0D0D"/>
                <w:sz w:val="24"/>
              </w:rPr>
              <w:t>Detail of challenge</w:t>
            </w:r>
          </w:p>
        </w:tc>
      </w:tr>
      <w:tr w:rsidR="00817CB5" w14:paraId="55F847FB" w14:textId="77777777" w:rsidTr="005A2AAA">
        <w:trPr>
          <w:trHeight w:val="998"/>
        </w:trPr>
        <w:tc>
          <w:tcPr>
            <w:tcW w:w="1479" w:type="dxa"/>
          </w:tcPr>
          <w:p w14:paraId="52805450" w14:textId="77777777" w:rsidR="00817CB5" w:rsidRDefault="00817CB5" w:rsidP="005A2AAA">
            <w:pPr>
              <w:pStyle w:val="TableParagraph"/>
              <w:rPr>
                <w:sz w:val="24"/>
              </w:rPr>
            </w:pPr>
            <w:r>
              <w:rPr>
                <w:color w:val="0D0D0D"/>
                <w:sz w:val="24"/>
              </w:rPr>
              <w:t>1</w:t>
            </w:r>
          </w:p>
        </w:tc>
        <w:tc>
          <w:tcPr>
            <w:tcW w:w="8011" w:type="dxa"/>
          </w:tcPr>
          <w:p w14:paraId="202F69BD" w14:textId="77777777" w:rsidR="00817CB5" w:rsidRDefault="00817CB5" w:rsidP="005A2AAA">
            <w:pPr>
              <w:pStyle w:val="TableParagraph"/>
              <w:ind w:left="165" w:right="215"/>
              <w:rPr>
                <w:sz w:val="24"/>
              </w:rPr>
            </w:pPr>
            <w:r>
              <w:rPr>
                <w:color w:val="0D0D0D"/>
                <w:sz w:val="24"/>
              </w:rPr>
              <w:t>As a result of the pandemic, the school must ensure that academic catch-up is implemented as required, to maximise the progress potential of students in school at all points.</w:t>
            </w:r>
          </w:p>
        </w:tc>
      </w:tr>
      <w:tr w:rsidR="00817CB5" w14:paraId="0D57095A" w14:textId="77777777" w:rsidTr="005A2AAA">
        <w:trPr>
          <w:trHeight w:val="707"/>
        </w:trPr>
        <w:tc>
          <w:tcPr>
            <w:tcW w:w="1479" w:type="dxa"/>
          </w:tcPr>
          <w:p w14:paraId="30EE5D99" w14:textId="77777777" w:rsidR="00817CB5" w:rsidRDefault="00817CB5" w:rsidP="005A2AAA">
            <w:pPr>
              <w:pStyle w:val="TableParagraph"/>
              <w:rPr>
                <w:sz w:val="24"/>
              </w:rPr>
            </w:pPr>
            <w:r>
              <w:rPr>
                <w:color w:val="0D0D0D"/>
                <w:sz w:val="24"/>
              </w:rPr>
              <w:t>2</w:t>
            </w:r>
          </w:p>
        </w:tc>
        <w:tc>
          <w:tcPr>
            <w:tcW w:w="8011" w:type="dxa"/>
          </w:tcPr>
          <w:p w14:paraId="43898242" w14:textId="49703790" w:rsidR="00817CB5" w:rsidRDefault="00817CB5" w:rsidP="005A2AAA">
            <w:pPr>
              <w:pStyle w:val="TableParagraph"/>
              <w:ind w:left="165" w:right="333"/>
              <w:rPr>
                <w:sz w:val="24"/>
              </w:rPr>
            </w:pPr>
            <w:r>
              <w:rPr>
                <w:color w:val="0D0D0D"/>
                <w:sz w:val="24"/>
              </w:rPr>
              <w:t>As a result of the pandemic, an increasing range of pastoral issues have been generated, particularly in relation to student well-being</w:t>
            </w:r>
            <w:r w:rsidR="00E80FEA">
              <w:rPr>
                <w:color w:val="0D0D0D"/>
                <w:sz w:val="24"/>
              </w:rPr>
              <w:t>.</w:t>
            </w:r>
          </w:p>
        </w:tc>
      </w:tr>
      <w:tr w:rsidR="00817CB5" w14:paraId="1B7FAA22" w14:textId="77777777" w:rsidTr="005A2AAA">
        <w:trPr>
          <w:trHeight w:val="998"/>
        </w:trPr>
        <w:tc>
          <w:tcPr>
            <w:tcW w:w="1479" w:type="dxa"/>
          </w:tcPr>
          <w:p w14:paraId="5F0E8055" w14:textId="77777777" w:rsidR="00817CB5" w:rsidRDefault="00817CB5" w:rsidP="005A2AAA">
            <w:pPr>
              <w:pStyle w:val="TableParagraph"/>
              <w:rPr>
                <w:sz w:val="24"/>
              </w:rPr>
            </w:pPr>
            <w:r>
              <w:rPr>
                <w:color w:val="0D0D0D"/>
                <w:sz w:val="24"/>
              </w:rPr>
              <w:t>3</w:t>
            </w:r>
          </w:p>
        </w:tc>
        <w:tc>
          <w:tcPr>
            <w:tcW w:w="8011" w:type="dxa"/>
          </w:tcPr>
          <w:p w14:paraId="4A5E3763" w14:textId="7B989C2F" w:rsidR="00817CB5" w:rsidRDefault="00980880" w:rsidP="005A2AAA">
            <w:pPr>
              <w:pStyle w:val="TableParagraph"/>
              <w:ind w:left="165" w:right="215"/>
              <w:rPr>
                <w:sz w:val="24"/>
              </w:rPr>
            </w:pPr>
            <w:r>
              <w:rPr>
                <w:color w:val="0D0D0D"/>
                <w:sz w:val="24"/>
              </w:rPr>
              <w:t>To</w:t>
            </w:r>
            <w:r w:rsidR="00E80FEA">
              <w:rPr>
                <w:color w:val="0D0D0D"/>
                <w:sz w:val="24"/>
              </w:rPr>
              <w:t xml:space="preserve"> ensure that disadvantaged students achieve outcomes comparable to non-disadvantaged students. Whilst </w:t>
            </w:r>
            <w:r w:rsidR="00C80022">
              <w:rPr>
                <w:color w:val="0D0D0D"/>
                <w:sz w:val="24"/>
              </w:rPr>
              <w:t xml:space="preserve">some </w:t>
            </w:r>
            <w:r w:rsidR="00E80FEA">
              <w:rPr>
                <w:color w:val="0D0D0D"/>
                <w:sz w:val="24"/>
              </w:rPr>
              <w:t>progress has been made to narrow the gap, progress must be sustained</w:t>
            </w:r>
            <w:r w:rsidR="00DD16CF">
              <w:rPr>
                <w:color w:val="0D0D0D"/>
                <w:sz w:val="24"/>
              </w:rPr>
              <w:t xml:space="preserve">. </w:t>
            </w:r>
            <w:r w:rsidR="00DD16CF" w:rsidRPr="00DD16CF">
              <w:rPr>
                <w:color w:val="0D0D0D"/>
                <w:sz w:val="24"/>
              </w:rPr>
              <w:t>In 202</w:t>
            </w:r>
            <w:r w:rsidR="00DB6E3E">
              <w:rPr>
                <w:color w:val="0D0D0D"/>
                <w:sz w:val="24"/>
              </w:rPr>
              <w:t>2</w:t>
            </w:r>
            <w:r w:rsidR="00DD16CF" w:rsidRPr="00DD16CF">
              <w:rPr>
                <w:color w:val="0D0D0D"/>
                <w:sz w:val="24"/>
              </w:rPr>
              <w:t>/2</w:t>
            </w:r>
            <w:r w:rsidR="00DB6E3E">
              <w:rPr>
                <w:color w:val="0D0D0D"/>
                <w:sz w:val="24"/>
              </w:rPr>
              <w:t>3</w:t>
            </w:r>
            <w:r w:rsidR="00DD16CF" w:rsidRPr="00DD16CF">
              <w:rPr>
                <w:color w:val="0D0D0D"/>
                <w:sz w:val="24"/>
              </w:rPr>
              <w:t xml:space="preserve"> </w:t>
            </w:r>
            <w:r w:rsidR="00C80022">
              <w:rPr>
                <w:color w:val="0D0D0D"/>
                <w:sz w:val="24"/>
              </w:rPr>
              <w:t xml:space="preserve">Thomas Telford School’s </w:t>
            </w:r>
            <w:r w:rsidR="00DD16CF" w:rsidRPr="00DD16CF">
              <w:rPr>
                <w:color w:val="0D0D0D"/>
                <w:sz w:val="24"/>
              </w:rPr>
              <w:t>Progress 8 figure</w:t>
            </w:r>
            <w:r w:rsidR="00C80022">
              <w:rPr>
                <w:color w:val="0D0D0D"/>
                <w:sz w:val="24"/>
              </w:rPr>
              <w:t xml:space="preserve"> </w:t>
            </w:r>
            <w:r w:rsidR="00D03111">
              <w:rPr>
                <w:color w:val="0D0D0D"/>
                <w:sz w:val="24"/>
              </w:rPr>
              <w:t>was</w:t>
            </w:r>
            <w:r w:rsidR="00DD16CF">
              <w:rPr>
                <w:color w:val="0D0D0D"/>
                <w:sz w:val="24"/>
              </w:rPr>
              <w:t xml:space="preserve"> -0.08</w:t>
            </w:r>
            <w:r w:rsidR="00DD16CF" w:rsidRPr="00DD16CF">
              <w:rPr>
                <w:color w:val="0D0D0D"/>
                <w:sz w:val="24"/>
              </w:rPr>
              <w:t>.</w:t>
            </w:r>
          </w:p>
        </w:tc>
      </w:tr>
      <w:tr w:rsidR="00817CB5" w14:paraId="6F37AFCC" w14:textId="77777777" w:rsidTr="005A2AAA">
        <w:trPr>
          <w:trHeight w:val="705"/>
        </w:trPr>
        <w:tc>
          <w:tcPr>
            <w:tcW w:w="1479" w:type="dxa"/>
          </w:tcPr>
          <w:p w14:paraId="0BAE93AD" w14:textId="77777777" w:rsidR="00817CB5" w:rsidRDefault="00817CB5" w:rsidP="005A2AAA">
            <w:pPr>
              <w:pStyle w:val="TableParagraph"/>
              <w:rPr>
                <w:sz w:val="24"/>
              </w:rPr>
            </w:pPr>
            <w:r>
              <w:rPr>
                <w:color w:val="0D0D0D"/>
                <w:sz w:val="24"/>
              </w:rPr>
              <w:t>4</w:t>
            </w:r>
          </w:p>
        </w:tc>
        <w:tc>
          <w:tcPr>
            <w:tcW w:w="8011" w:type="dxa"/>
          </w:tcPr>
          <w:p w14:paraId="4364059A" w14:textId="12B8DE12" w:rsidR="0067012B" w:rsidRPr="0067012B" w:rsidRDefault="00980880" w:rsidP="0067012B">
            <w:pPr>
              <w:pStyle w:val="TableParagraph"/>
              <w:ind w:left="165" w:right="314"/>
              <w:rPr>
                <w:color w:val="0D0D0D"/>
                <w:sz w:val="24"/>
              </w:rPr>
            </w:pPr>
            <w:r>
              <w:rPr>
                <w:color w:val="0D0D0D"/>
                <w:sz w:val="24"/>
              </w:rPr>
              <w:t>In school, there</w:t>
            </w:r>
            <w:r w:rsidR="00817CB5">
              <w:rPr>
                <w:color w:val="0D0D0D"/>
                <w:sz w:val="24"/>
              </w:rPr>
              <w:t xml:space="preserve"> is at present a gap in attendance figures of </w:t>
            </w:r>
            <w:r w:rsidR="0067012B">
              <w:rPr>
                <w:color w:val="0D0D0D"/>
                <w:sz w:val="24"/>
              </w:rPr>
              <w:t>2</w:t>
            </w:r>
            <w:r w:rsidR="004B18EA">
              <w:rPr>
                <w:color w:val="0D0D0D"/>
                <w:sz w:val="24"/>
              </w:rPr>
              <w:t>.7</w:t>
            </w:r>
            <w:r w:rsidR="00817CB5">
              <w:rPr>
                <w:color w:val="0D0D0D"/>
                <w:sz w:val="24"/>
              </w:rPr>
              <w:t>% for non-disadvantaged students, relative to their disadvantaged peers</w:t>
            </w:r>
            <w:r w:rsidR="00E80FEA">
              <w:rPr>
                <w:color w:val="0D0D0D"/>
                <w:sz w:val="24"/>
              </w:rPr>
              <w:t>.</w:t>
            </w:r>
            <w:r>
              <w:rPr>
                <w:color w:val="0D0D0D"/>
                <w:sz w:val="24"/>
              </w:rPr>
              <w:t xml:space="preserve"> </w:t>
            </w:r>
            <w:r w:rsidR="0067012B">
              <w:rPr>
                <w:color w:val="0D0D0D"/>
                <w:sz w:val="24"/>
              </w:rPr>
              <w:t xml:space="preserve">The national attendance for disadvantaged students is </w:t>
            </w:r>
            <w:r w:rsidR="0067012B" w:rsidRPr="00A36D79">
              <w:rPr>
                <w:sz w:val="24"/>
              </w:rPr>
              <w:t>8</w:t>
            </w:r>
            <w:r w:rsidR="00A36D79" w:rsidRPr="00A36D79">
              <w:rPr>
                <w:sz w:val="24"/>
              </w:rPr>
              <w:t>9</w:t>
            </w:r>
            <w:r w:rsidR="0067012B" w:rsidRPr="00A36D79">
              <w:rPr>
                <w:sz w:val="24"/>
              </w:rPr>
              <w:t>.</w:t>
            </w:r>
            <w:r w:rsidR="00A36D79" w:rsidRPr="00A36D79">
              <w:rPr>
                <w:sz w:val="24"/>
              </w:rPr>
              <w:t>7</w:t>
            </w:r>
            <w:r w:rsidR="0067012B" w:rsidRPr="00A36D79">
              <w:rPr>
                <w:sz w:val="24"/>
              </w:rPr>
              <w:t xml:space="preserve">%. </w:t>
            </w:r>
            <w:r w:rsidR="0067012B">
              <w:rPr>
                <w:color w:val="0D0D0D"/>
                <w:sz w:val="24"/>
              </w:rPr>
              <w:t>The school’s disadvantaged attendance is 9</w:t>
            </w:r>
            <w:r w:rsidR="004B18EA">
              <w:rPr>
                <w:color w:val="0D0D0D"/>
                <w:sz w:val="24"/>
              </w:rPr>
              <w:t>2</w:t>
            </w:r>
            <w:r w:rsidR="0067012B">
              <w:rPr>
                <w:color w:val="0D0D0D"/>
                <w:sz w:val="24"/>
              </w:rPr>
              <w:t>.</w:t>
            </w:r>
            <w:r w:rsidR="004B18EA">
              <w:rPr>
                <w:color w:val="0D0D0D"/>
                <w:sz w:val="24"/>
              </w:rPr>
              <w:t>5</w:t>
            </w:r>
            <w:r w:rsidR="0067012B">
              <w:rPr>
                <w:color w:val="0D0D0D"/>
                <w:sz w:val="24"/>
              </w:rPr>
              <w:t>%</w:t>
            </w:r>
            <w:r w:rsidR="00647C75">
              <w:rPr>
                <w:color w:val="0D0D0D"/>
                <w:sz w:val="24"/>
              </w:rPr>
              <w:t xml:space="preserve"> which is above the national picture.</w:t>
            </w:r>
          </w:p>
        </w:tc>
      </w:tr>
      <w:tr w:rsidR="00817CB5" w14:paraId="276314B7" w14:textId="77777777" w:rsidTr="005A2AAA">
        <w:trPr>
          <w:trHeight w:val="707"/>
        </w:trPr>
        <w:tc>
          <w:tcPr>
            <w:tcW w:w="1479" w:type="dxa"/>
          </w:tcPr>
          <w:p w14:paraId="4660108E" w14:textId="77777777" w:rsidR="00817CB5" w:rsidRDefault="00817CB5" w:rsidP="005A2AAA">
            <w:pPr>
              <w:pStyle w:val="TableParagraph"/>
              <w:rPr>
                <w:sz w:val="24"/>
              </w:rPr>
            </w:pPr>
            <w:r>
              <w:rPr>
                <w:color w:val="0D0D0D"/>
                <w:sz w:val="24"/>
              </w:rPr>
              <w:t>5</w:t>
            </w:r>
          </w:p>
        </w:tc>
        <w:tc>
          <w:tcPr>
            <w:tcW w:w="8011" w:type="dxa"/>
          </w:tcPr>
          <w:p w14:paraId="6E6803B4" w14:textId="77777777" w:rsidR="00817CB5" w:rsidRDefault="00817CB5" w:rsidP="005A2AAA">
            <w:pPr>
              <w:pStyle w:val="TableParagraph"/>
              <w:ind w:left="165"/>
              <w:rPr>
                <w:sz w:val="24"/>
              </w:rPr>
            </w:pPr>
            <w:r>
              <w:rPr>
                <w:color w:val="0D0D0D"/>
                <w:sz w:val="24"/>
              </w:rPr>
              <w:t>Some students are reluctant to engage in Session 3 opportunities, where they benefit from academic or extra-curricular activities.</w:t>
            </w:r>
          </w:p>
        </w:tc>
      </w:tr>
    </w:tbl>
    <w:p w14:paraId="22C2FF8E" w14:textId="77777777" w:rsidR="00817CB5" w:rsidRDefault="00817CB5" w:rsidP="00C200FC">
      <w:pPr>
        <w:spacing w:before="52"/>
        <w:ind w:left="112"/>
        <w:rPr>
          <w:b/>
          <w:color w:val="0F4F75"/>
          <w:sz w:val="24"/>
        </w:rPr>
      </w:pPr>
    </w:p>
    <w:p w14:paraId="6B8A9AE1" w14:textId="77777777" w:rsidR="00B07C8B" w:rsidRDefault="00B07C8B" w:rsidP="00C97148">
      <w:pPr>
        <w:spacing w:before="1"/>
        <w:rPr>
          <w:b/>
          <w:color w:val="0F4F75"/>
          <w:sz w:val="24"/>
        </w:rPr>
      </w:pPr>
    </w:p>
    <w:p w14:paraId="0FAB0469" w14:textId="77777777" w:rsidR="00B07C8B" w:rsidRDefault="00B07C8B" w:rsidP="00C97148">
      <w:pPr>
        <w:spacing w:before="1"/>
        <w:rPr>
          <w:b/>
          <w:color w:val="0F4F75"/>
          <w:sz w:val="24"/>
        </w:rPr>
      </w:pPr>
    </w:p>
    <w:p w14:paraId="38EDB3C5" w14:textId="77777777" w:rsidR="00B07C8B" w:rsidRDefault="00B07C8B" w:rsidP="00C97148">
      <w:pPr>
        <w:spacing w:before="1"/>
        <w:rPr>
          <w:b/>
          <w:color w:val="0F4F75"/>
          <w:sz w:val="24"/>
        </w:rPr>
      </w:pPr>
    </w:p>
    <w:p w14:paraId="7F2FE34A" w14:textId="77777777" w:rsidR="00B07C8B" w:rsidRDefault="00B07C8B" w:rsidP="00C97148">
      <w:pPr>
        <w:spacing w:before="1"/>
        <w:rPr>
          <w:b/>
          <w:color w:val="0F4F75"/>
          <w:sz w:val="24"/>
        </w:rPr>
      </w:pPr>
    </w:p>
    <w:p w14:paraId="1770F617" w14:textId="77777777" w:rsidR="00B07C8B" w:rsidRDefault="00B07C8B" w:rsidP="00C97148">
      <w:pPr>
        <w:spacing w:before="1"/>
        <w:rPr>
          <w:b/>
          <w:color w:val="0F4F75"/>
          <w:sz w:val="24"/>
        </w:rPr>
      </w:pPr>
    </w:p>
    <w:p w14:paraId="7B068C52" w14:textId="77777777" w:rsidR="00E5480F" w:rsidRDefault="00E5480F" w:rsidP="00C97148">
      <w:pPr>
        <w:spacing w:before="1"/>
        <w:rPr>
          <w:b/>
          <w:color w:val="0F4F75"/>
          <w:sz w:val="24"/>
        </w:rPr>
      </w:pPr>
    </w:p>
    <w:p w14:paraId="782BC800" w14:textId="4923BC95" w:rsidR="00FF6C4B" w:rsidRDefault="0067012B" w:rsidP="00C97148">
      <w:pPr>
        <w:spacing w:before="1"/>
        <w:rPr>
          <w:b/>
          <w:sz w:val="24"/>
        </w:rPr>
      </w:pPr>
      <w:r>
        <w:rPr>
          <w:b/>
          <w:color w:val="0F4F75"/>
          <w:sz w:val="24"/>
        </w:rPr>
        <w:lastRenderedPageBreak/>
        <w:t>Intended outcomes</w:t>
      </w:r>
      <w:r w:rsidR="00284DBD">
        <w:rPr>
          <w:b/>
          <w:color w:val="0F4F75"/>
          <w:sz w:val="24"/>
        </w:rPr>
        <w:t xml:space="preserve"> by </w:t>
      </w:r>
      <w:proofErr w:type="gramStart"/>
      <w:r w:rsidR="00284DBD">
        <w:rPr>
          <w:b/>
          <w:color w:val="0F4F75"/>
          <w:sz w:val="24"/>
        </w:rPr>
        <w:t>2024</w:t>
      </w:r>
      <w:proofErr w:type="gramEnd"/>
    </w:p>
    <w:p w14:paraId="42A4947F" w14:textId="77777777" w:rsidR="00FF6C4B" w:rsidRDefault="00FF6C4B">
      <w:pPr>
        <w:spacing w:before="7"/>
        <w:rPr>
          <w:b/>
          <w:sz w:val="19"/>
        </w:rPr>
      </w:pPr>
    </w:p>
    <w:p w14:paraId="3EE1A693" w14:textId="77777777" w:rsidR="00FF6C4B" w:rsidRDefault="0067012B">
      <w:pPr>
        <w:spacing w:before="1" w:line="288" w:lineRule="auto"/>
        <w:ind w:left="112" w:right="313"/>
        <w:rPr>
          <w:sz w:val="24"/>
        </w:rPr>
      </w:pPr>
      <w:r>
        <w:rPr>
          <w:sz w:val="24"/>
        </w:rPr>
        <w:t xml:space="preserve">This explains the outcomes we are aiming for </w:t>
      </w:r>
      <w:r>
        <w:rPr>
          <w:b/>
          <w:sz w:val="24"/>
        </w:rPr>
        <w:t>by the end of our current strategy plan</w:t>
      </w:r>
      <w:r>
        <w:rPr>
          <w:sz w:val="24"/>
        </w:rPr>
        <w:t>, and how we will measure whether they have been achieved.</w:t>
      </w:r>
    </w:p>
    <w:p w14:paraId="71C03874" w14:textId="77777777" w:rsidR="00FF6C4B" w:rsidRDefault="00FF6C4B">
      <w:pPr>
        <w:spacing w:before="8"/>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4642"/>
      </w:tblGrid>
      <w:tr w:rsidR="00FF6C4B" w14:paraId="219E00B3" w14:textId="77777777" w:rsidTr="00C97148">
        <w:trPr>
          <w:trHeight w:val="634"/>
        </w:trPr>
        <w:tc>
          <w:tcPr>
            <w:tcW w:w="4783" w:type="dxa"/>
            <w:shd w:val="clear" w:color="auto" w:fill="D7E1E9"/>
          </w:tcPr>
          <w:p w14:paraId="7642BF49" w14:textId="77777777" w:rsidR="00FF6C4B" w:rsidRDefault="0067012B">
            <w:pPr>
              <w:pStyle w:val="TableParagraph"/>
              <w:rPr>
                <w:b/>
                <w:sz w:val="24"/>
              </w:rPr>
            </w:pPr>
            <w:r>
              <w:rPr>
                <w:b/>
                <w:color w:val="0D0D0D"/>
                <w:sz w:val="24"/>
              </w:rPr>
              <w:t>Intended outcome</w:t>
            </w:r>
          </w:p>
        </w:tc>
        <w:tc>
          <w:tcPr>
            <w:tcW w:w="4642" w:type="dxa"/>
            <w:shd w:val="clear" w:color="auto" w:fill="D7E1E9"/>
          </w:tcPr>
          <w:p w14:paraId="79B14B2D" w14:textId="77777777" w:rsidR="00FF6C4B" w:rsidRDefault="0067012B">
            <w:pPr>
              <w:pStyle w:val="TableParagraph"/>
              <w:rPr>
                <w:b/>
                <w:sz w:val="24"/>
              </w:rPr>
            </w:pPr>
            <w:r>
              <w:rPr>
                <w:b/>
                <w:color w:val="0D0D0D"/>
                <w:sz w:val="24"/>
              </w:rPr>
              <w:t>Success criteria</w:t>
            </w:r>
          </w:p>
        </w:tc>
      </w:tr>
      <w:tr w:rsidR="00FF6C4B" w14:paraId="7C5BE9C2" w14:textId="77777777" w:rsidTr="00C97148">
        <w:trPr>
          <w:trHeight w:val="1447"/>
        </w:trPr>
        <w:tc>
          <w:tcPr>
            <w:tcW w:w="4783" w:type="dxa"/>
          </w:tcPr>
          <w:p w14:paraId="458D968A" w14:textId="65696F62" w:rsidR="00FF6C4B" w:rsidRDefault="0067012B" w:rsidP="00095AE7">
            <w:pPr>
              <w:pStyle w:val="TableParagraph"/>
              <w:numPr>
                <w:ilvl w:val="0"/>
                <w:numId w:val="1"/>
              </w:numPr>
              <w:ind w:right="372"/>
              <w:rPr>
                <w:sz w:val="24"/>
              </w:rPr>
            </w:pPr>
            <w:r>
              <w:rPr>
                <w:color w:val="0D0D0D"/>
                <w:sz w:val="24"/>
              </w:rPr>
              <w:t>To minimise the impact of the Pandemic on lost learning on disadvantaged students</w:t>
            </w:r>
          </w:p>
        </w:tc>
        <w:tc>
          <w:tcPr>
            <w:tcW w:w="4642" w:type="dxa"/>
          </w:tcPr>
          <w:p w14:paraId="63D4F8DC" w14:textId="19541C8B" w:rsidR="00FF6C4B" w:rsidRDefault="0067012B">
            <w:pPr>
              <w:pStyle w:val="TableParagraph"/>
              <w:spacing w:line="290" w:lineRule="atLeast"/>
              <w:ind w:right="150"/>
              <w:rPr>
                <w:sz w:val="24"/>
              </w:rPr>
            </w:pPr>
            <w:r>
              <w:rPr>
                <w:color w:val="0D0D0D"/>
                <w:sz w:val="24"/>
              </w:rPr>
              <w:t>Students who need it</w:t>
            </w:r>
            <w:r w:rsidR="002B56E2">
              <w:rPr>
                <w:color w:val="0D0D0D"/>
                <w:sz w:val="24"/>
              </w:rPr>
              <w:t xml:space="preserve"> to</w:t>
            </w:r>
            <w:r>
              <w:rPr>
                <w:color w:val="0D0D0D"/>
                <w:sz w:val="24"/>
              </w:rPr>
              <w:t xml:space="preserve"> receive targeted Session 3, Saturday school</w:t>
            </w:r>
            <w:r w:rsidR="002B56E2">
              <w:rPr>
                <w:color w:val="0D0D0D"/>
                <w:sz w:val="24"/>
              </w:rPr>
              <w:t>,</w:t>
            </w:r>
            <w:r>
              <w:rPr>
                <w:color w:val="0D0D0D"/>
                <w:sz w:val="24"/>
              </w:rPr>
              <w:t xml:space="preserve"> and other i</w:t>
            </w:r>
            <w:r w:rsidR="002B56E2">
              <w:rPr>
                <w:color w:val="0D0D0D"/>
                <w:sz w:val="24"/>
              </w:rPr>
              <w:t>ntervention,</w:t>
            </w:r>
            <w:r>
              <w:rPr>
                <w:color w:val="0D0D0D"/>
                <w:sz w:val="24"/>
              </w:rPr>
              <w:t xml:space="preserve"> to meet previously expected levels</w:t>
            </w:r>
            <w:r w:rsidR="00C97148">
              <w:rPr>
                <w:color w:val="0D0D0D"/>
                <w:sz w:val="24"/>
              </w:rPr>
              <w:t xml:space="preserve"> of progress. This will be evidenced on module reports, </w:t>
            </w:r>
            <w:proofErr w:type="gramStart"/>
            <w:r w:rsidR="00C97148">
              <w:rPr>
                <w:color w:val="0D0D0D"/>
                <w:sz w:val="24"/>
              </w:rPr>
              <w:t>whether or not</w:t>
            </w:r>
            <w:proofErr w:type="gramEnd"/>
            <w:r w:rsidR="00C97148">
              <w:rPr>
                <w:color w:val="0D0D0D"/>
                <w:sz w:val="24"/>
              </w:rPr>
              <w:t xml:space="preserve"> students are making expected progress.</w:t>
            </w:r>
          </w:p>
        </w:tc>
      </w:tr>
      <w:tr w:rsidR="00A51DDA" w14:paraId="150F3036" w14:textId="77777777" w:rsidTr="00C97148">
        <w:trPr>
          <w:trHeight w:val="1447"/>
        </w:trPr>
        <w:tc>
          <w:tcPr>
            <w:tcW w:w="4783" w:type="dxa"/>
          </w:tcPr>
          <w:p w14:paraId="73B1619F" w14:textId="431B6205" w:rsidR="00A51DDA" w:rsidRDefault="00A51DDA" w:rsidP="00095AE7">
            <w:pPr>
              <w:pStyle w:val="TableParagraph"/>
              <w:numPr>
                <w:ilvl w:val="0"/>
                <w:numId w:val="1"/>
              </w:numPr>
              <w:ind w:right="372"/>
              <w:rPr>
                <w:color w:val="0D0D0D"/>
                <w:sz w:val="24"/>
              </w:rPr>
            </w:pPr>
            <w:r>
              <w:rPr>
                <w:color w:val="0D0D0D"/>
                <w:sz w:val="24"/>
              </w:rPr>
              <w:t>To ensure that disadvantaged students receive adequate pastoral care to allow them to succeed, including developing the required resilience to deal with adverse situations</w:t>
            </w:r>
          </w:p>
        </w:tc>
        <w:tc>
          <w:tcPr>
            <w:tcW w:w="4642" w:type="dxa"/>
          </w:tcPr>
          <w:p w14:paraId="76FAF829" w14:textId="3DF9486D" w:rsidR="00A51DDA" w:rsidRDefault="00A51DDA" w:rsidP="00A51DDA">
            <w:pPr>
              <w:pStyle w:val="TableParagraph"/>
              <w:spacing w:line="290" w:lineRule="atLeast"/>
              <w:ind w:right="150"/>
              <w:rPr>
                <w:color w:val="0D0D0D"/>
                <w:sz w:val="24"/>
              </w:rPr>
            </w:pPr>
            <w:r>
              <w:rPr>
                <w:color w:val="0D0D0D"/>
                <w:sz w:val="24"/>
              </w:rPr>
              <w:t>Students to receive enhanced pastoral support, including nurture</w:t>
            </w:r>
            <w:r w:rsidR="002A42CD">
              <w:rPr>
                <w:color w:val="0D0D0D"/>
                <w:sz w:val="24"/>
              </w:rPr>
              <w:t>,</w:t>
            </w:r>
            <w:r>
              <w:rPr>
                <w:color w:val="0D0D0D"/>
                <w:sz w:val="24"/>
              </w:rPr>
              <w:t xml:space="preserve"> and counselling</w:t>
            </w:r>
            <w:r w:rsidR="002A42CD">
              <w:rPr>
                <w:color w:val="0D0D0D"/>
                <w:sz w:val="24"/>
              </w:rPr>
              <w:t>,</w:t>
            </w:r>
            <w:r>
              <w:rPr>
                <w:color w:val="0D0D0D"/>
                <w:sz w:val="24"/>
              </w:rPr>
              <w:t xml:space="preserve"> where appropriate. Successful reintegration to and wide participation in school life will highlight the success.</w:t>
            </w:r>
          </w:p>
        </w:tc>
      </w:tr>
      <w:tr w:rsidR="00A51DDA" w14:paraId="52B23CE8" w14:textId="77777777" w:rsidTr="00C97148">
        <w:trPr>
          <w:trHeight w:val="1447"/>
        </w:trPr>
        <w:tc>
          <w:tcPr>
            <w:tcW w:w="4783" w:type="dxa"/>
          </w:tcPr>
          <w:p w14:paraId="65D07C1B" w14:textId="478E6183" w:rsidR="00A51DDA" w:rsidRDefault="00A51DDA" w:rsidP="00095AE7">
            <w:pPr>
              <w:pStyle w:val="TableParagraph"/>
              <w:numPr>
                <w:ilvl w:val="0"/>
                <w:numId w:val="1"/>
              </w:numPr>
              <w:ind w:right="372"/>
              <w:rPr>
                <w:color w:val="0D0D0D"/>
                <w:sz w:val="24"/>
              </w:rPr>
            </w:pPr>
            <w:r>
              <w:rPr>
                <w:color w:val="0D0D0D"/>
                <w:sz w:val="24"/>
              </w:rPr>
              <w:t>To narrow the difference in progress made by disadvantaged students and their peers</w:t>
            </w:r>
          </w:p>
        </w:tc>
        <w:tc>
          <w:tcPr>
            <w:tcW w:w="4642" w:type="dxa"/>
          </w:tcPr>
          <w:p w14:paraId="0A35F2DA" w14:textId="7A62071B" w:rsidR="00A51DDA" w:rsidRDefault="00B46212" w:rsidP="00A51DDA">
            <w:pPr>
              <w:pStyle w:val="TableParagraph"/>
              <w:spacing w:line="290" w:lineRule="atLeast"/>
              <w:ind w:right="150"/>
              <w:rPr>
                <w:color w:val="0D0D0D"/>
                <w:sz w:val="24"/>
              </w:rPr>
            </w:pPr>
            <w:r w:rsidRPr="00B46212">
              <w:rPr>
                <w:color w:val="0D0D0D"/>
                <w:sz w:val="24"/>
              </w:rPr>
              <w:t>Gap to reduce from +0.64 difference in P8 figure for disadvantaged students.</w:t>
            </w:r>
          </w:p>
        </w:tc>
      </w:tr>
      <w:tr w:rsidR="00A51DDA" w14:paraId="03F883EF" w14:textId="77777777" w:rsidTr="00C97148">
        <w:trPr>
          <w:trHeight w:val="1447"/>
        </w:trPr>
        <w:tc>
          <w:tcPr>
            <w:tcW w:w="4783" w:type="dxa"/>
          </w:tcPr>
          <w:p w14:paraId="2C65D720" w14:textId="2EDA2CCE" w:rsidR="00A51DDA" w:rsidRDefault="00A51DDA" w:rsidP="00041EA1">
            <w:pPr>
              <w:pStyle w:val="TableParagraph"/>
              <w:numPr>
                <w:ilvl w:val="0"/>
                <w:numId w:val="1"/>
              </w:numPr>
              <w:ind w:right="372"/>
              <w:rPr>
                <w:color w:val="0D0D0D"/>
                <w:sz w:val="24"/>
              </w:rPr>
            </w:pPr>
            <w:r>
              <w:rPr>
                <w:color w:val="0D0D0D"/>
                <w:sz w:val="24"/>
              </w:rPr>
              <w:t>To maximise attendance of disadvantaged students</w:t>
            </w:r>
          </w:p>
        </w:tc>
        <w:tc>
          <w:tcPr>
            <w:tcW w:w="4642" w:type="dxa"/>
          </w:tcPr>
          <w:p w14:paraId="59FAC230" w14:textId="1B63816C" w:rsidR="00A51DDA" w:rsidRDefault="00A51DDA" w:rsidP="00A51DDA">
            <w:pPr>
              <w:pStyle w:val="TableParagraph"/>
              <w:spacing w:line="290" w:lineRule="atLeast"/>
              <w:ind w:right="150"/>
              <w:rPr>
                <w:color w:val="0D0D0D"/>
                <w:sz w:val="24"/>
              </w:rPr>
            </w:pPr>
            <w:r>
              <w:rPr>
                <w:color w:val="0D0D0D"/>
                <w:sz w:val="24"/>
              </w:rPr>
              <w:t xml:space="preserve">Gap to reduce to under </w:t>
            </w:r>
            <w:r w:rsidR="00B2323F">
              <w:rPr>
                <w:sz w:val="24"/>
              </w:rPr>
              <w:t>2</w:t>
            </w:r>
            <w:r w:rsidRPr="00B2323F">
              <w:rPr>
                <w:sz w:val="24"/>
              </w:rPr>
              <w:t xml:space="preserve">% </w:t>
            </w:r>
            <w:r>
              <w:rPr>
                <w:color w:val="0D0D0D"/>
                <w:sz w:val="24"/>
              </w:rPr>
              <w:t>from 202</w:t>
            </w:r>
            <w:r w:rsidR="004B18EA">
              <w:rPr>
                <w:color w:val="0D0D0D"/>
                <w:sz w:val="24"/>
              </w:rPr>
              <w:t>2 - 2023</w:t>
            </w:r>
            <w:r>
              <w:rPr>
                <w:color w:val="0D0D0D"/>
                <w:sz w:val="24"/>
              </w:rPr>
              <w:t xml:space="preserve"> figure</w:t>
            </w:r>
          </w:p>
        </w:tc>
      </w:tr>
      <w:tr w:rsidR="00A51DDA" w14:paraId="00A73FB0" w14:textId="77777777" w:rsidTr="00E3212D">
        <w:trPr>
          <w:trHeight w:val="1084"/>
        </w:trPr>
        <w:tc>
          <w:tcPr>
            <w:tcW w:w="4783" w:type="dxa"/>
          </w:tcPr>
          <w:p w14:paraId="044EAA6A" w14:textId="70C093C0" w:rsidR="00A51DDA" w:rsidRDefault="00A51DDA" w:rsidP="00041EA1">
            <w:pPr>
              <w:pStyle w:val="TableParagraph"/>
              <w:numPr>
                <w:ilvl w:val="0"/>
                <w:numId w:val="1"/>
              </w:numPr>
              <w:ind w:right="372"/>
              <w:rPr>
                <w:color w:val="0D0D0D"/>
                <w:sz w:val="24"/>
              </w:rPr>
            </w:pPr>
            <w:r>
              <w:rPr>
                <w:color w:val="0D0D0D"/>
                <w:sz w:val="24"/>
              </w:rPr>
              <w:t>To maximise Session 3 participation among disadvantaged students</w:t>
            </w:r>
          </w:p>
        </w:tc>
        <w:tc>
          <w:tcPr>
            <w:tcW w:w="4642" w:type="dxa"/>
          </w:tcPr>
          <w:p w14:paraId="58EC69E4" w14:textId="7A4293C4" w:rsidR="00A51DDA" w:rsidRDefault="00A51DDA" w:rsidP="00A51DDA">
            <w:pPr>
              <w:pStyle w:val="TableParagraph"/>
              <w:spacing w:line="290" w:lineRule="atLeast"/>
              <w:ind w:right="150"/>
              <w:rPr>
                <w:color w:val="0D0D0D"/>
                <w:sz w:val="24"/>
              </w:rPr>
            </w:pPr>
            <w:r>
              <w:rPr>
                <w:color w:val="0D0D0D"/>
                <w:sz w:val="24"/>
              </w:rPr>
              <w:t xml:space="preserve">To carefully monitor numbers of sessions </w:t>
            </w:r>
            <w:r w:rsidRPr="00572CBC">
              <w:rPr>
                <w:sz w:val="24"/>
              </w:rPr>
              <w:t>attended</w:t>
            </w:r>
            <w:r w:rsidR="00041EA1" w:rsidRPr="00572CBC">
              <w:rPr>
                <w:sz w:val="24"/>
              </w:rPr>
              <w:t xml:space="preserve"> with a view to further </w:t>
            </w:r>
            <w:r w:rsidR="00572CBC" w:rsidRPr="00572CBC">
              <w:rPr>
                <w:sz w:val="24"/>
              </w:rPr>
              <w:t>targeted</w:t>
            </w:r>
            <w:r w:rsidR="00041EA1" w:rsidRPr="00572CBC">
              <w:rPr>
                <w:sz w:val="24"/>
              </w:rPr>
              <w:t xml:space="preserve"> intervention where </w:t>
            </w:r>
            <w:r w:rsidR="00D24766" w:rsidRPr="00572CBC">
              <w:rPr>
                <w:sz w:val="24"/>
              </w:rPr>
              <w:t>necessary</w:t>
            </w:r>
            <w:r w:rsidR="00D20095" w:rsidRPr="00572CBC">
              <w:rPr>
                <w:sz w:val="24"/>
              </w:rPr>
              <w:t>.</w:t>
            </w:r>
            <w:r w:rsidR="00D24766" w:rsidRPr="00572CBC">
              <w:rPr>
                <w:sz w:val="24"/>
              </w:rPr>
              <w:t xml:space="preserve"> Participation will serve to support and improve academic achievement, social </w:t>
            </w:r>
            <w:proofErr w:type="gramStart"/>
            <w:r w:rsidR="00D24766" w:rsidRPr="00572CBC">
              <w:rPr>
                <w:sz w:val="24"/>
              </w:rPr>
              <w:t>confidence</w:t>
            </w:r>
            <w:proofErr w:type="gramEnd"/>
            <w:r w:rsidR="00D24766" w:rsidRPr="00572CBC">
              <w:rPr>
                <w:sz w:val="24"/>
              </w:rPr>
              <w:t xml:space="preserve"> and cultural capital for our disadvantaged learners.</w:t>
            </w:r>
          </w:p>
        </w:tc>
      </w:tr>
    </w:tbl>
    <w:p w14:paraId="59000C35" w14:textId="77777777" w:rsidR="00FF6C4B" w:rsidRDefault="00FF6C4B">
      <w:pPr>
        <w:spacing w:line="290" w:lineRule="atLeast"/>
        <w:rPr>
          <w:sz w:val="24"/>
        </w:rPr>
      </w:pPr>
    </w:p>
    <w:p w14:paraId="164B5613" w14:textId="77777777" w:rsidR="00B07C8B" w:rsidRDefault="00B07C8B" w:rsidP="00E3212D">
      <w:pPr>
        <w:pStyle w:val="Heading1"/>
        <w:spacing w:before="0"/>
        <w:ind w:left="0"/>
        <w:rPr>
          <w:color w:val="0F4F75"/>
        </w:rPr>
      </w:pPr>
    </w:p>
    <w:p w14:paraId="0175C622" w14:textId="77777777" w:rsidR="00B07C8B" w:rsidRDefault="00B07C8B" w:rsidP="00E3212D">
      <w:pPr>
        <w:pStyle w:val="Heading1"/>
        <w:spacing w:before="0"/>
        <w:ind w:left="0"/>
        <w:rPr>
          <w:color w:val="0F4F75"/>
        </w:rPr>
      </w:pPr>
    </w:p>
    <w:p w14:paraId="1761BFE2" w14:textId="77777777" w:rsidR="00E5480F" w:rsidRDefault="00E5480F" w:rsidP="00E3212D">
      <w:pPr>
        <w:pStyle w:val="Heading1"/>
        <w:spacing w:before="0"/>
        <w:ind w:left="0"/>
        <w:rPr>
          <w:color w:val="0F4F75"/>
        </w:rPr>
      </w:pPr>
    </w:p>
    <w:p w14:paraId="6CE53175" w14:textId="77777777" w:rsidR="00E5480F" w:rsidRDefault="00E5480F" w:rsidP="00E3212D">
      <w:pPr>
        <w:pStyle w:val="Heading1"/>
        <w:spacing w:before="0"/>
        <w:ind w:left="0"/>
        <w:rPr>
          <w:color w:val="0F4F75"/>
        </w:rPr>
      </w:pPr>
    </w:p>
    <w:p w14:paraId="41E32EAD" w14:textId="77777777" w:rsidR="00E5480F" w:rsidRDefault="00E5480F" w:rsidP="00E3212D">
      <w:pPr>
        <w:pStyle w:val="Heading1"/>
        <w:spacing w:before="0"/>
        <w:ind w:left="0"/>
        <w:rPr>
          <w:color w:val="0F4F75"/>
        </w:rPr>
      </w:pPr>
    </w:p>
    <w:p w14:paraId="7F3B6603" w14:textId="77777777" w:rsidR="00E5480F" w:rsidRDefault="00E5480F" w:rsidP="00E3212D">
      <w:pPr>
        <w:pStyle w:val="Heading1"/>
        <w:spacing w:before="0"/>
        <w:ind w:left="0"/>
        <w:rPr>
          <w:color w:val="0F4F75"/>
        </w:rPr>
      </w:pPr>
    </w:p>
    <w:p w14:paraId="47D2CDDC" w14:textId="77777777" w:rsidR="00E5480F" w:rsidRDefault="00E5480F" w:rsidP="00E3212D">
      <w:pPr>
        <w:pStyle w:val="Heading1"/>
        <w:spacing w:before="0"/>
        <w:ind w:left="0"/>
        <w:rPr>
          <w:color w:val="0F4F75"/>
        </w:rPr>
      </w:pPr>
    </w:p>
    <w:p w14:paraId="3E63A706" w14:textId="77777777" w:rsidR="00E5480F" w:rsidRDefault="00E5480F" w:rsidP="00E3212D">
      <w:pPr>
        <w:pStyle w:val="Heading1"/>
        <w:spacing w:before="0"/>
        <w:ind w:left="0"/>
        <w:rPr>
          <w:color w:val="0F4F75"/>
        </w:rPr>
      </w:pPr>
    </w:p>
    <w:p w14:paraId="2126AFB7" w14:textId="77777777" w:rsidR="00E5480F" w:rsidRDefault="00E5480F" w:rsidP="00E3212D">
      <w:pPr>
        <w:pStyle w:val="Heading1"/>
        <w:spacing w:before="0"/>
        <w:ind w:left="0"/>
        <w:rPr>
          <w:color w:val="0F4F75"/>
        </w:rPr>
      </w:pPr>
    </w:p>
    <w:p w14:paraId="7B3D4CF7" w14:textId="77777777" w:rsidR="00D24766" w:rsidRDefault="00D24766" w:rsidP="00E3212D">
      <w:pPr>
        <w:pStyle w:val="Heading1"/>
        <w:spacing w:before="0"/>
        <w:ind w:left="0"/>
        <w:rPr>
          <w:color w:val="0F4F75"/>
        </w:rPr>
      </w:pPr>
    </w:p>
    <w:p w14:paraId="20246FEB" w14:textId="77777777" w:rsidR="00D24766" w:rsidRDefault="00D24766" w:rsidP="00E3212D">
      <w:pPr>
        <w:pStyle w:val="Heading1"/>
        <w:spacing w:before="0"/>
        <w:ind w:left="0"/>
        <w:rPr>
          <w:color w:val="0F4F75"/>
        </w:rPr>
      </w:pPr>
    </w:p>
    <w:p w14:paraId="34EA74EE" w14:textId="77777777" w:rsidR="00572CBC" w:rsidRDefault="00572CBC" w:rsidP="00E3212D">
      <w:pPr>
        <w:pStyle w:val="Heading1"/>
        <w:spacing w:before="0"/>
        <w:ind w:left="0"/>
        <w:rPr>
          <w:color w:val="0F4F75"/>
        </w:rPr>
      </w:pPr>
    </w:p>
    <w:p w14:paraId="5D689665" w14:textId="77777777" w:rsidR="00572CBC" w:rsidRDefault="00572CBC" w:rsidP="00E3212D">
      <w:pPr>
        <w:pStyle w:val="Heading1"/>
        <w:spacing w:before="0"/>
        <w:ind w:left="0"/>
        <w:rPr>
          <w:color w:val="0F4F75"/>
        </w:rPr>
      </w:pPr>
    </w:p>
    <w:p w14:paraId="16CE3FB5" w14:textId="77777777" w:rsidR="00572CBC" w:rsidRDefault="00572CBC" w:rsidP="00E3212D">
      <w:pPr>
        <w:pStyle w:val="Heading1"/>
        <w:spacing w:before="0"/>
        <w:ind w:left="0"/>
        <w:rPr>
          <w:color w:val="0F4F75"/>
        </w:rPr>
      </w:pPr>
    </w:p>
    <w:p w14:paraId="71E12524" w14:textId="105E9030" w:rsidR="00E3212D" w:rsidRDefault="00E3212D" w:rsidP="00E3212D">
      <w:pPr>
        <w:pStyle w:val="Heading1"/>
        <w:spacing w:before="0"/>
        <w:ind w:left="0"/>
      </w:pPr>
      <w:r>
        <w:rPr>
          <w:color w:val="0F4F75"/>
        </w:rPr>
        <w:lastRenderedPageBreak/>
        <w:t>Activity in this academic year</w:t>
      </w:r>
    </w:p>
    <w:p w14:paraId="655AD8C0" w14:textId="77777777" w:rsidR="00E3212D" w:rsidRDefault="00E3212D" w:rsidP="00E3212D">
      <w:pPr>
        <w:spacing w:before="7"/>
        <w:rPr>
          <w:b/>
          <w:sz w:val="19"/>
        </w:rPr>
      </w:pPr>
    </w:p>
    <w:p w14:paraId="693A358F" w14:textId="5AC81EFD" w:rsidR="00E3212D" w:rsidRDefault="00E3212D" w:rsidP="00E3212D">
      <w:pPr>
        <w:spacing w:before="1" w:line="288" w:lineRule="auto"/>
        <w:ind w:left="112" w:right="566"/>
        <w:rPr>
          <w:color w:val="0D0D0D"/>
          <w:sz w:val="24"/>
        </w:rPr>
      </w:pPr>
      <w:r>
        <w:rPr>
          <w:color w:val="0D0D0D"/>
          <w:sz w:val="24"/>
        </w:rPr>
        <w:t xml:space="preserve">This details how we intend to spend our pupil premium </w:t>
      </w:r>
      <w:r>
        <w:rPr>
          <w:b/>
          <w:color w:val="0D0D0D"/>
          <w:sz w:val="24"/>
        </w:rPr>
        <w:t xml:space="preserve">this academic year </w:t>
      </w:r>
      <w:r>
        <w:rPr>
          <w:color w:val="0D0D0D"/>
          <w:sz w:val="24"/>
        </w:rPr>
        <w:t>to address the challenges listed above.</w:t>
      </w:r>
    </w:p>
    <w:p w14:paraId="37CEED9F" w14:textId="77777777" w:rsidR="00E3212D" w:rsidRDefault="00E3212D" w:rsidP="00BE30AB">
      <w:pPr>
        <w:spacing w:before="187"/>
        <w:rPr>
          <w:b/>
          <w:sz w:val="24"/>
        </w:rPr>
      </w:pPr>
      <w:r>
        <w:rPr>
          <w:b/>
          <w:color w:val="0F4F75"/>
          <w:sz w:val="24"/>
        </w:rPr>
        <w:t>Teaching (for example, CPD, recruitment and retention)</w:t>
      </w:r>
    </w:p>
    <w:p w14:paraId="187EC9AD" w14:textId="77777777" w:rsidR="00E3212D" w:rsidRDefault="00E3212D" w:rsidP="00E3212D">
      <w:pPr>
        <w:spacing w:before="8"/>
        <w:rPr>
          <w:b/>
          <w:sz w:val="19"/>
        </w:rPr>
      </w:pPr>
    </w:p>
    <w:p w14:paraId="64740FF7" w14:textId="022B234F" w:rsidR="00E3212D" w:rsidRPr="00A21FCD" w:rsidRDefault="00E3212D" w:rsidP="00E3212D">
      <w:pPr>
        <w:ind w:left="112"/>
        <w:rPr>
          <w:sz w:val="24"/>
        </w:rPr>
      </w:pPr>
      <w:r w:rsidRPr="00A21FCD">
        <w:rPr>
          <w:sz w:val="24"/>
        </w:rPr>
        <w:t>Budgeted cost: £62,000</w:t>
      </w:r>
    </w:p>
    <w:p w14:paraId="269C1089" w14:textId="77777777" w:rsidR="00E3212D" w:rsidRDefault="00E3212D" w:rsidP="00E3212D">
      <w:pPr>
        <w:spacing w:before="1" w:line="288" w:lineRule="auto"/>
        <w:ind w:left="112" w:right="566"/>
        <w:rPr>
          <w:sz w:val="24"/>
        </w:rPr>
      </w:pPr>
    </w:p>
    <w:p w14:paraId="792599CB" w14:textId="77777777" w:rsidR="00E3212D" w:rsidRDefault="00E3212D" w:rsidP="00E3212D">
      <w:pPr>
        <w:rPr>
          <w:sz w:val="24"/>
        </w:rPr>
      </w:pPr>
    </w:p>
    <w:tbl>
      <w:tblPr>
        <w:tblpPr w:leftFromText="180" w:rightFromText="180" w:vertAnchor="text" w:horzAnchor="margin"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4256"/>
        <w:gridCol w:w="2545"/>
      </w:tblGrid>
      <w:tr w:rsidR="00E3212D" w14:paraId="72E6CC3C" w14:textId="77777777" w:rsidTr="00E3212D">
        <w:trPr>
          <w:trHeight w:val="705"/>
        </w:trPr>
        <w:tc>
          <w:tcPr>
            <w:tcW w:w="2689" w:type="dxa"/>
            <w:shd w:val="clear" w:color="auto" w:fill="D7E1E9"/>
          </w:tcPr>
          <w:p w14:paraId="4836324F" w14:textId="77777777" w:rsidR="00E3212D" w:rsidRDefault="00E3212D" w:rsidP="00E3212D">
            <w:pPr>
              <w:pStyle w:val="TableParagraph"/>
              <w:rPr>
                <w:b/>
                <w:sz w:val="24"/>
              </w:rPr>
            </w:pPr>
            <w:r>
              <w:rPr>
                <w:b/>
                <w:color w:val="0D0D0D"/>
                <w:sz w:val="24"/>
              </w:rPr>
              <w:t>Activity</w:t>
            </w:r>
          </w:p>
        </w:tc>
        <w:tc>
          <w:tcPr>
            <w:tcW w:w="4256" w:type="dxa"/>
            <w:shd w:val="clear" w:color="auto" w:fill="D7E1E9"/>
          </w:tcPr>
          <w:p w14:paraId="6234D19F" w14:textId="77777777" w:rsidR="00E3212D" w:rsidRDefault="00E3212D" w:rsidP="00E3212D">
            <w:pPr>
              <w:pStyle w:val="TableParagraph"/>
              <w:ind w:left="167"/>
              <w:rPr>
                <w:b/>
                <w:sz w:val="24"/>
              </w:rPr>
            </w:pPr>
            <w:r>
              <w:rPr>
                <w:b/>
                <w:color w:val="0D0D0D"/>
                <w:sz w:val="24"/>
              </w:rPr>
              <w:t>Evidence that supports this approach</w:t>
            </w:r>
          </w:p>
        </w:tc>
        <w:tc>
          <w:tcPr>
            <w:tcW w:w="2545" w:type="dxa"/>
            <w:shd w:val="clear" w:color="auto" w:fill="D7E1E9"/>
          </w:tcPr>
          <w:p w14:paraId="1F5AA132" w14:textId="77777777" w:rsidR="00E3212D" w:rsidRDefault="00E3212D" w:rsidP="00E3212D">
            <w:pPr>
              <w:pStyle w:val="TableParagraph"/>
              <w:ind w:left="165" w:right="286"/>
              <w:rPr>
                <w:b/>
                <w:sz w:val="24"/>
              </w:rPr>
            </w:pPr>
            <w:r>
              <w:rPr>
                <w:b/>
                <w:color w:val="0D0D0D"/>
                <w:sz w:val="24"/>
              </w:rPr>
              <w:t>Challenge number(s) addressed</w:t>
            </w:r>
          </w:p>
        </w:tc>
      </w:tr>
      <w:tr w:rsidR="00E3212D" w14:paraId="6DDF973B" w14:textId="77777777" w:rsidTr="00E3212D">
        <w:trPr>
          <w:trHeight w:val="2464"/>
        </w:trPr>
        <w:tc>
          <w:tcPr>
            <w:tcW w:w="2689" w:type="dxa"/>
          </w:tcPr>
          <w:p w14:paraId="1B36082B" w14:textId="77777777" w:rsidR="00E3212D" w:rsidRDefault="00E3212D" w:rsidP="00E3212D">
            <w:pPr>
              <w:pStyle w:val="TableParagraph"/>
              <w:spacing w:before="61"/>
              <w:ind w:right="152"/>
              <w:rPr>
                <w:i/>
                <w:sz w:val="24"/>
              </w:rPr>
            </w:pPr>
            <w:r>
              <w:rPr>
                <w:i/>
                <w:color w:val="0D0D0D"/>
                <w:sz w:val="24"/>
              </w:rPr>
              <w:t>Whole staff CPD through use of PD days and subscription to the National College resources for all staff, including metacognition and independent learning</w:t>
            </w:r>
          </w:p>
        </w:tc>
        <w:tc>
          <w:tcPr>
            <w:tcW w:w="4256" w:type="dxa"/>
          </w:tcPr>
          <w:p w14:paraId="02E42288" w14:textId="77777777" w:rsidR="00E3212D" w:rsidRDefault="00E3212D" w:rsidP="00E3212D">
            <w:pPr>
              <w:pStyle w:val="TableParagraph"/>
              <w:spacing w:before="61"/>
              <w:ind w:left="167" w:right="506"/>
              <w:rPr>
                <w:sz w:val="24"/>
              </w:rPr>
            </w:pPr>
            <w:r>
              <w:rPr>
                <w:color w:val="0D0D0D"/>
                <w:sz w:val="24"/>
              </w:rPr>
              <w:t>National College CPD is class-leading and allows on demand access to tailored CPD, or as directed by line managers</w:t>
            </w:r>
          </w:p>
        </w:tc>
        <w:tc>
          <w:tcPr>
            <w:tcW w:w="2545" w:type="dxa"/>
          </w:tcPr>
          <w:p w14:paraId="050D64C5" w14:textId="77777777" w:rsidR="00E3212D" w:rsidRDefault="00E3212D" w:rsidP="00E3212D">
            <w:pPr>
              <w:pStyle w:val="TableParagraph"/>
              <w:spacing w:before="61"/>
              <w:ind w:left="165"/>
              <w:rPr>
                <w:sz w:val="24"/>
              </w:rPr>
            </w:pPr>
            <w:r>
              <w:rPr>
                <w:color w:val="0D0D0D"/>
                <w:sz w:val="24"/>
              </w:rPr>
              <w:t>1, 2</w:t>
            </w:r>
          </w:p>
        </w:tc>
      </w:tr>
      <w:tr w:rsidR="00B2323F" w14:paraId="131312A6" w14:textId="77777777" w:rsidTr="00E3212D">
        <w:trPr>
          <w:trHeight w:val="2464"/>
        </w:trPr>
        <w:tc>
          <w:tcPr>
            <w:tcW w:w="2689" w:type="dxa"/>
          </w:tcPr>
          <w:p w14:paraId="3BAB7CD5" w14:textId="520CDCE7" w:rsidR="00B2323F" w:rsidRPr="00B2323F" w:rsidRDefault="00B2323F" w:rsidP="00E3212D">
            <w:pPr>
              <w:pStyle w:val="TableParagraph"/>
              <w:spacing w:before="61"/>
              <w:ind w:right="152"/>
              <w:rPr>
                <w:iCs/>
                <w:color w:val="0D0D0D"/>
                <w:sz w:val="24"/>
              </w:rPr>
            </w:pPr>
            <w:r>
              <w:rPr>
                <w:iCs/>
                <w:color w:val="0D0D0D"/>
                <w:sz w:val="24"/>
              </w:rPr>
              <w:t xml:space="preserve">Session 3. Targeted academic sessions and enrichment opportunities to be provided.  </w:t>
            </w:r>
          </w:p>
        </w:tc>
        <w:tc>
          <w:tcPr>
            <w:tcW w:w="4256" w:type="dxa"/>
          </w:tcPr>
          <w:p w14:paraId="3CE0BABD" w14:textId="783874B6" w:rsidR="00B2323F" w:rsidRPr="003E5F49" w:rsidRDefault="00B2323F" w:rsidP="00E3212D">
            <w:pPr>
              <w:pStyle w:val="TableParagraph"/>
              <w:spacing w:before="61"/>
              <w:ind w:left="167" w:right="506"/>
              <w:rPr>
                <w:color w:val="FF0000"/>
                <w:sz w:val="24"/>
              </w:rPr>
            </w:pPr>
            <w:r>
              <w:rPr>
                <w:color w:val="0D0D0D"/>
                <w:sz w:val="24"/>
              </w:rPr>
              <w:t>Academic sessions will ensure the gap between Disadvantaged students and their peers is minimised. Enrichment opportunities, such as music lessons, opportunities to visit the theatre will focus on increasing ‘cultural capital’, again minimising inequality</w:t>
            </w:r>
            <w:r w:rsidRPr="00572CBC">
              <w:rPr>
                <w:sz w:val="24"/>
              </w:rPr>
              <w:t>.</w:t>
            </w:r>
            <w:r w:rsidR="003E5F49" w:rsidRPr="00572CBC">
              <w:rPr>
                <w:sz w:val="24"/>
              </w:rPr>
              <w:t xml:space="preserve"> Focus on recruitment and engagement of </w:t>
            </w:r>
            <w:r w:rsidR="007114FE" w:rsidRPr="00572CBC">
              <w:rPr>
                <w:sz w:val="24"/>
              </w:rPr>
              <w:t>Disadvantaged learners for these sessions will be monitored</w:t>
            </w:r>
            <w:r w:rsidR="00BA12D5" w:rsidRPr="00572CBC">
              <w:rPr>
                <w:sz w:val="24"/>
              </w:rPr>
              <w:t xml:space="preserve"> by departments and will form a key agenda item at department meetings.</w:t>
            </w:r>
          </w:p>
        </w:tc>
        <w:tc>
          <w:tcPr>
            <w:tcW w:w="2545" w:type="dxa"/>
          </w:tcPr>
          <w:p w14:paraId="1468C9D1" w14:textId="2E3FFBCD" w:rsidR="00B2323F" w:rsidRDefault="00B2323F" w:rsidP="00E3212D">
            <w:pPr>
              <w:pStyle w:val="TableParagraph"/>
              <w:spacing w:before="61"/>
              <w:ind w:left="165"/>
              <w:rPr>
                <w:color w:val="0D0D0D"/>
                <w:sz w:val="24"/>
              </w:rPr>
            </w:pPr>
            <w:r>
              <w:rPr>
                <w:color w:val="0D0D0D"/>
                <w:sz w:val="24"/>
              </w:rPr>
              <w:t>1, 2, 3, 5</w:t>
            </w:r>
          </w:p>
        </w:tc>
      </w:tr>
      <w:tr w:rsidR="00E3212D" w14:paraId="62EEF244" w14:textId="77777777" w:rsidTr="00E3212D">
        <w:trPr>
          <w:trHeight w:val="1878"/>
        </w:trPr>
        <w:tc>
          <w:tcPr>
            <w:tcW w:w="2689" w:type="dxa"/>
          </w:tcPr>
          <w:p w14:paraId="35B9B613" w14:textId="65EA85A4" w:rsidR="00E3212D" w:rsidRDefault="00E3212D" w:rsidP="00E3212D">
            <w:pPr>
              <w:pStyle w:val="TableParagraph"/>
              <w:ind w:right="235"/>
              <w:rPr>
                <w:i/>
                <w:sz w:val="24"/>
              </w:rPr>
            </w:pPr>
            <w:r>
              <w:rPr>
                <w:i/>
                <w:color w:val="0D0D0D"/>
                <w:sz w:val="24"/>
              </w:rPr>
              <w:t xml:space="preserve">ECT, SDS and New staff to the school benefit from extensive school induction </w:t>
            </w:r>
            <w:r w:rsidR="00647C75">
              <w:rPr>
                <w:i/>
                <w:color w:val="0D0D0D"/>
                <w:sz w:val="24"/>
              </w:rPr>
              <w:t>and ongoing CPD</w:t>
            </w:r>
          </w:p>
        </w:tc>
        <w:tc>
          <w:tcPr>
            <w:tcW w:w="4256" w:type="dxa"/>
          </w:tcPr>
          <w:p w14:paraId="308AC701" w14:textId="16FB1369" w:rsidR="00E3212D" w:rsidRPr="004940D4" w:rsidRDefault="00E3212D" w:rsidP="00E3212D">
            <w:pPr>
              <w:pStyle w:val="TableParagraph"/>
              <w:ind w:left="167" w:right="428"/>
              <w:rPr>
                <w:color w:val="FF0000"/>
                <w:sz w:val="24"/>
              </w:rPr>
            </w:pPr>
            <w:r>
              <w:rPr>
                <w:color w:val="0D0D0D"/>
                <w:sz w:val="24"/>
              </w:rPr>
              <w:t>Staff are quickly introduced to school ethos, organisational methods, and expectations in a supportive and collaborative envir</w:t>
            </w:r>
            <w:r w:rsidRPr="00572CBC">
              <w:rPr>
                <w:sz w:val="24"/>
              </w:rPr>
              <w:t>onment.</w:t>
            </w:r>
            <w:r w:rsidR="004940D4" w:rsidRPr="00572CBC">
              <w:rPr>
                <w:sz w:val="24"/>
              </w:rPr>
              <w:t xml:space="preserve"> This enables all staff to be readily on board and actively engaged in collaboratively supporting the engagement and </w:t>
            </w:r>
            <w:r w:rsidR="00EE2C45" w:rsidRPr="00572CBC">
              <w:rPr>
                <w:sz w:val="24"/>
              </w:rPr>
              <w:t>progress of our disadvantaged learners.</w:t>
            </w:r>
          </w:p>
        </w:tc>
        <w:tc>
          <w:tcPr>
            <w:tcW w:w="2545" w:type="dxa"/>
          </w:tcPr>
          <w:p w14:paraId="57012B82" w14:textId="77777777" w:rsidR="00E3212D" w:rsidRDefault="00E3212D" w:rsidP="00E3212D">
            <w:pPr>
              <w:pStyle w:val="TableParagraph"/>
              <w:ind w:left="165"/>
              <w:rPr>
                <w:sz w:val="24"/>
              </w:rPr>
            </w:pPr>
            <w:r>
              <w:rPr>
                <w:color w:val="0D0D0D"/>
                <w:sz w:val="24"/>
              </w:rPr>
              <w:t>1, 2</w:t>
            </w:r>
          </w:p>
        </w:tc>
      </w:tr>
      <w:tr w:rsidR="00E3212D" w14:paraId="0D2836B9" w14:textId="77777777" w:rsidTr="00E3212D">
        <w:trPr>
          <w:trHeight w:val="997"/>
        </w:trPr>
        <w:tc>
          <w:tcPr>
            <w:tcW w:w="2689" w:type="dxa"/>
          </w:tcPr>
          <w:p w14:paraId="03D104F5" w14:textId="77777777" w:rsidR="00E3212D" w:rsidRDefault="00E3212D" w:rsidP="00E3212D">
            <w:pPr>
              <w:pStyle w:val="TableParagraph"/>
              <w:ind w:right="403"/>
              <w:jc w:val="both"/>
              <w:rPr>
                <w:i/>
                <w:sz w:val="24"/>
              </w:rPr>
            </w:pPr>
            <w:r>
              <w:rPr>
                <w:i/>
                <w:color w:val="0D0D0D"/>
                <w:sz w:val="24"/>
              </w:rPr>
              <w:t>Curriculum Support – additional teachers in English and Maths</w:t>
            </w:r>
          </w:p>
        </w:tc>
        <w:tc>
          <w:tcPr>
            <w:tcW w:w="4256" w:type="dxa"/>
          </w:tcPr>
          <w:p w14:paraId="04B7CDD9" w14:textId="7CAC4859" w:rsidR="008A0C69" w:rsidRPr="00572CBC" w:rsidRDefault="00E3212D" w:rsidP="00572CBC">
            <w:pPr>
              <w:pStyle w:val="TableParagraph"/>
              <w:ind w:left="167" w:right="302"/>
              <w:rPr>
                <w:color w:val="0D0D0D"/>
                <w:sz w:val="24"/>
                <w:highlight w:val="cyan"/>
              </w:rPr>
            </w:pPr>
            <w:r w:rsidRPr="00572CBC">
              <w:rPr>
                <w:color w:val="0D0D0D"/>
                <w:sz w:val="24"/>
              </w:rPr>
              <w:t xml:space="preserve">Smaller group sizes. </w:t>
            </w:r>
            <w:r w:rsidR="001A6FEB" w:rsidRPr="00572CBC">
              <w:rPr>
                <w:color w:val="0D0D0D"/>
                <w:sz w:val="24"/>
              </w:rPr>
              <w:t>D</w:t>
            </w:r>
            <w:r w:rsidRPr="00572CBC">
              <w:rPr>
                <w:color w:val="0D0D0D"/>
                <w:sz w:val="24"/>
              </w:rPr>
              <w:t>isadvantaged</w:t>
            </w:r>
            <w:r w:rsidR="002107F9" w:rsidRPr="00572CBC">
              <w:rPr>
                <w:color w:val="0D0D0D"/>
                <w:sz w:val="24"/>
              </w:rPr>
              <w:t xml:space="preserve"> students </w:t>
            </w:r>
            <w:r w:rsidR="00572CBC" w:rsidRPr="00572CBC">
              <w:rPr>
                <w:color w:val="0D0D0D"/>
                <w:sz w:val="24"/>
              </w:rPr>
              <w:t xml:space="preserve">are </w:t>
            </w:r>
            <w:r w:rsidR="002107F9" w:rsidRPr="00572CBC">
              <w:rPr>
                <w:color w:val="0D0D0D"/>
                <w:sz w:val="24"/>
              </w:rPr>
              <w:t>disproportionately represented in th</w:t>
            </w:r>
            <w:r w:rsidR="00572CBC" w:rsidRPr="00572CBC">
              <w:rPr>
                <w:color w:val="0D0D0D"/>
                <w:sz w:val="24"/>
              </w:rPr>
              <w:t>ese groups so benefit from the targeted tuition and smaller group sizes.</w:t>
            </w:r>
          </w:p>
        </w:tc>
        <w:tc>
          <w:tcPr>
            <w:tcW w:w="2545" w:type="dxa"/>
          </w:tcPr>
          <w:p w14:paraId="1A60C312" w14:textId="77777777" w:rsidR="00E3212D" w:rsidRDefault="00E3212D" w:rsidP="00E3212D">
            <w:pPr>
              <w:pStyle w:val="TableParagraph"/>
              <w:ind w:left="165"/>
              <w:rPr>
                <w:sz w:val="24"/>
              </w:rPr>
            </w:pPr>
            <w:r>
              <w:rPr>
                <w:color w:val="0D0D0D"/>
                <w:sz w:val="24"/>
              </w:rPr>
              <w:t>1, 3, 5</w:t>
            </w:r>
          </w:p>
        </w:tc>
      </w:tr>
      <w:tr w:rsidR="002107F9" w14:paraId="7539B4D7" w14:textId="77777777" w:rsidTr="00E3212D">
        <w:trPr>
          <w:trHeight w:val="997"/>
        </w:trPr>
        <w:tc>
          <w:tcPr>
            <w:tcW w:w="2689" w:type="dxa"/>
          </w:tcPr>
          <w:p w14:paraId="0E2B8233" w14:textId="5A5C1AA1" w:rsidR="002107F9" w:rsidRDefault="002107F9" w:rsidP="002107F9">
            <w:pPr>
              <w:pStyle w:val="TableParagraph"/>
              <w:ind w:right="403"/>
              <w:jc w:val="both"/>
              <w:rPr>
                <w:i/>
                <w:color w:val="0D0D0D"/>
                <w:sz w:val="24"/>
              </w:rPr>
            </w:pPr>
            <w:r>
              <w:rPr>
                <w:i/>
                <w:color w:val="0D0D0D"/>
                <w:sz w:val="24"/>
              </w:rPr>
              <w:lastRenderedPageBreak/>
              <w:t>Assessment</w:t>
            </w:r>
          </w:p>
        </w:tc>
        <w:tc>
          <w:tcPr>
            <w:tcW w:w="4256" w:type="dxa"/>
          </w:tcPr>
          <w:p w14:paraId="362E86EA" w14:textId="7A144F0E" w:rsidR="001A6FEB" w:rsidRPr="0069025F" w:rsidRDefault="00C724D2" w:rsidP="0069025F">
            <w:pPr>
              <w:pStyle w:val="TableParagraph"/>
              <w:ind w:left="0" w:right="302"/>
              <w:rPr>
                <w:sz w:val="24"/>
              </w:rPr>
            </w:pPr>
            <w:r w:rsidRPr="0069025F">
              <w:rPr>
                <w:sz w:val="24"/>
              </w:rPr>
              <w:t>To ensure that learners’ starting points are accurately identified upon entry</w:t>
            </w:r>
            <w:r w:rsidR="00BB181C" w:rsidRPr="0069025F">
              <w:rPr>
                <w:sz w:val="24"/>
              </w:rPr>
              <w:t xml:space="preserve"> learners are assessed using </w:t>
            </w:r>
            <w:r w:rsidR="00A67825" w:rsidRPr="0069025F">
              <w:rPr>
                <w:sz w:val="24"/>
              </w:rPr>
              <w:t xml:space="preserve">nationally recognised </w:t>
            </w:r>
            <w:r w:rsidR="00BB181C" w:rsidRPr="0069025F">
              <w:rPr>
                <w:sz w:val="24"/>
              </w:rPr>
              <w:t>standardised assessments</w:t>
            </w:r>
            <w:r w:rsidR="00C116D9" w:rsidRPr="0069025F">
              <w:rPr>
                <w:sz w:val="24"/>
              </w:rPr>
              <w:t xml:space="preserve"> (Such as GL assessment</w:t>
            </w:r>
            <w:r w:rsidR="0069025F" w:rsidRPr="0069025F">
              <w:rPr>
                <w:sz w:val="24"/>
              </w:rPr>
              <w:t>’s NGRT</w:t>
            </w:r>
            <w:r w:rsidR="00C116D9" w:rsidRPr="0069025F">
              <w:rPr>
                <w:sz w:val="24"/>
              </w:rPr>
              <w:t xml:space="preserve">). </w:t>
            </w:r>
            <w:r w:rsidR="001D48EC" w:rsidRPr="0069025F">
              <w:rPr>
                <w:sz w:val="24"/>
              </w:rPr>
              <w:t xml:space="preserve">Work also takes place in the summer term prior to transition to ascertain learner need of new intake using </w:t>
            </w:r>
            <w:r w:rsidR="002C18AE" w:rsidRPr="0069025F">
              <w:rPr>
                <w:sz w:val="24"/>
              </w:rPr>
              <w:t xml:space="preserve">other relevant </w:t>
            </w:r>
            <w:r w:rsidR="001D48EC" w:rsidRPr="0069025F">
              <w:rPr>
                <w:sz w:val="24"/>
              </w:rPr>
              <w:t>national data</w:t>
            </w:r>
            <w:r w:rsidR="002C18AE" w:rsidRPr="0069025F">
              <w:rPr>
                <w:sz w:val="24"/>
              </w:rPr>
              <w:t xml:space="preserve"> (Such as SATS).</w:t>
            </w:r>
            <w:r w:rsidR="001D48EC" w:rsidRPr="0069025F">
              <w:rPr>
                <w:sz w:val="24"/>
              </w:rPr>
              <w:t xml:space="preserve"> </w:t>
            </w:r>
            <w:r w:rsidR="003173EE" w:rsidRPr="0069025F">
              <w:rPr>
                <w:sz w:val="24"/>
              </w:rPr>
              <w:t>Data generated</w:t>
            </w:r>
            <w:r w:rsidR="0069025F" w:rsidRPr="0069025F">
              <w:rPr>
                <w:sz w:val="24"/>
              </w:rPr>
              <w:t xml:space="preserve"> </w:t>
            </w:r>
            <w:r w:rsidR="003173EE" w:rsidRPr="0069025F">
              <w:rPr>
                <w:sz w:val="24"/>
              </w:rPr>
              <w:t xml:space="preserve">is shared effectively with staff and enables </w:t>
            </w:r>
            <w:r w:rsidR="00D42B02" w:rsidRPr="0069025F">
              <w:rPr>
                <w:sz w:val="24"/>
              </w:rPr>
              <w:t xml:space="preserve">highly </w:t>
            </w:r>
            <w:r w:rsidR="00AB2A14" w:rsidRPr="0069025F">
              <w:rPr>
                <w:sz w:val="24"/>
              </w:rPr>
              <w:t>relevant, timely and personalised interventions for learners</w:t>
            </w:r>
            <w:r w:rsidR="0069025F">
              <w:rPr>
                <w:sz w:val="24"/>
              </w:rPr>
              <w:t>.</w:t>
            </w:r>
          </w:p>
        </w:tc>
        <w:tc>
          <w:tcPr>
            <w:tcW w:w="2545" w:type="dxa"/>
          </w:tcPr>
          <w:p w14:paraId="31FA952D" w14:textId="4D79D4ED" w:rsidR="002107F9" w:rsidRDefault="002107F9" w:rsidP="002107F9">
            <w:pPr>
              <w:pStyle w:val="TableParagraph"/>
              <w:ind w:left="165"/>
              <w:rPr>
                <w:color w:val="0D0D0D"/>
                <w:sz w:val="24"/>
              </w:rPr>
            </w:pPr>
            <w:r>
              <w:rPr>
                <w:color w:val="0D0D0D"/>
                <w:sz w:val="24"/>
              </w:rPr>
              <w:t>1, 3</w:t>
            </w:r>
          </w:p>
        </w:tc>
      </w:tr>
      <w:tr w:rsidR="002107F9" w14:paraId="5456724F" w14:textId="77777777" w:rsidTr="00E3212D">
        <w:trPr>
          <w:trHeight w:val="997"/>
        </w:trPr>
        <w:tc>
          <w:tcPr>
            <w:tcW w:w="2689" w:type="dxa"/>
          </w:tcPr>
          <w:p w14:paraId="7DCC1241" w14:textId="55EA6DED" w:rsidR="002107F9" w:rsidRDefault="002107F9" w:rsidP="002107F9">
            <w:pPr>
              <w:pStyle w:val="TableParagraph"/>
              <w:ind w:right="403"/>
              <w:jc w:val="both"/>
              <w:rPr>
                <w:i/>
                <w:color w:val="0D0D0D"/>
                <w:sz w:val="24"/>
              </w:rPr>
            </w:pPr>
            <w:r>
              <w:rPr>
                <w:i/>
                <w:color w:val="0D0D0D"/>
                <w:sz w:val="24"/>
              </w:rPr>
              <w:t>All lesson cover provided in house</w:t>
            </w:r>
          </w:p>
        </w:tc>
        <w:tc>
          <w:tcPr>
            <w:tcW w:w="4256" w:type="dxa"/>
          </w:tcPr>
          <w:p w14:paraId="18E5322A" w14:textId="012D0E27" w:rsidR="002107F9" w:rsidRDefault="002107F9" w:rsidP="002107F9">
            <w:pPr>
              <w:pStyle w:val="TableParagraph"/>
              <w:ind w:left="167" w:right="302"/>
              <w:rPr>
                <w:color w:val="0D0D0D"/>
                <w:sz w:val="24"/>
              </w:rPr>
            </w:pPr>
            <w:r>
              <w:rPr>
                <w:color w:val="0D0D0D"/>
                <w:sz w:val="24"/>
              </w:rPr>
              <w:t xml:space="preserve">This ensures continuity for students to be taught by subject specialists where possible, and by familiar staff when </w:t>
            </w:r>
            <w:r w:rsidRPr="00572CBC">
              <w:rPr>
                <w:sz w:val="24"/>
              </w:rPr>
              <w:t>not.</w:t>
            </w:r>
            <w:r w:rsidR="00B34365" w:rsidRPr="00572CBC">
              <w:rPr>
                <w:sz w:val="24"/>
              </w:rPr>
              <w:t xml:space="preserve"> This enables continuity for disadvantaged pupils</w:t>
            </w:r>
            <w:r w:rsidR="00BC6C14" w:rsidRPr="00572CBC">
              <w:rPr>
                <w:sz w:val="24"/>
              </w:rPr>
              <w:t xml:space="preserve"> with subject </w:t>
            </w:r>
            <w:r w:rsidR="00143FFE" w:rsidRPr="00572CBC">
              <w:rPr>
                <w:sz w:val="24"/>
              </w:rPr>
              <w:t>specialists</w:t>
            </w:r>
            <w:r w:rsidR="00BC6C14" w:rsidRPr="00572CBC">
              <w:rPr>
                <w:sz w:val="24"/>
              </w:rPr>
              <w:t>.</w:t>
            </w:r>
          </w:p>
        </w:tc>
        <w:tc>
          <w:tcPr>
            <w:tcW w:w="2545" w:type="dxa"/>
          </w:tcPr>
          <w:p w14:paraId="2BC23420" w14:textId="033BD0D2" w:rsidR="002107F9" w:rsidRDefault="002107F9" w:rsidP="002107F9">
            <w:pPr>
              <w:pStyle w:val="TableParagraph"/>
              <w:ind w:left="165"/>
              <w:rPr>
                <w:color w:val="0D0D0D"/>
                <w:sz w:val="24"/>
              </w:rPr>
            </w:pPr>
            <w:r>
              <w:rPr>
                <w:color w:val="0D0D0D"/>
                <w:sz w:val="24"/>
              </w:rPr>
              <w:t>1, 2</w:t>
            </w:r>
          </w:p>
        </w:tc>
      </w:tr>
      <w:tr w:rsidR="002107F9" w14:paraId="069647B7" w14:textId="77777777" w:rsidTr="00E3212D">
        <w:trPr>
          <w:trHeight w:val="997"/>
        </w:trPr>
        <w:tc>
          <w:tcPr>
            <w:tcW w:w="2689" w:type="dxa"/>
          </w:tcPr>
          <w:p w14:paraId="5E8574D4" w14:textId="6FEDFEB7" w:rsidR="002107F9" w:rsidRDefault="002107F9" w:rsidP="002107F9">
            <w:pPr>
              <w:pStyle w:val="TableParagraph"/>
              <w:ind w:right="403"/>
              <w:jc w:val="both"/>
              <w:rPr>
                <w:i/>
                <w:color w:val="0D0D0D"/>
                <w:sz w:val="24"/>
              </w:rPr>
            </w:pPr>
            <w:r>
              <w:rPr>
                <w:i/>
                <w:color w:val="0D0D0D"/>
                <w:sz w:val="24"/>
              </w:rPr>
              <w:t>Boys</w:t>
            </w:r>
            <w:r w:rsidR="00647C75">
              <w:rPr>
                <w:i/>
                <w:color w:val="0D0D0D"/>
                <w:sz w:val="24"/>
              </w:rPr>
              <w:t xml:space="preserve"> </w:t>
            </w:r>
            <w:r>
              <w:rPr>
                <w:i/>
                <w:color w:val="0D0D0D"/>
                <w:sz w:val="24"/>
              </w:rPr>
              <w:t>programme resources and CPD</w:t>
            </w:r>
          </w:p>
        </w:tc>
        <w:tc>
          <w:tcPr>
            <w:tcW w:w="4256" w:type="dxa"/>
          </w:tcPr>
          <w:p w14:paraId="40DFDA3C" w14:textId="6DDCFA01" w:rsidR="002107F9" w:rsidRPr="00572CBC" w:rsidRDefault="002107F9" w:rsidP="00572CBC">
            <w:pPr>
              <w:pStyle w:val="TableParagraph"/>
              <w:ind w:left="167" w:right="302"/>
              <w:rPr>
                <w:b/>
                <w:bCs/>
                <w:color w:val="FF0000"/>
                <w:sz w:val="24"/>
              </w:rPr>
            </w:pPr>
            <w:r>
              <w:rPr>
                <w:color w:val="0D0D0D"/>
                <w:sz w:val="24"/>
              </w:rPr>
              <w:t>Targeting performance of underachieving Y11 boys. 50% of the group are disadvantaged</w:t>
            </w:r>
            <w:r w:rsidR="00BC6C14">
              <w:rPr>
                <w:color w:val="0D0D0D"/>
                <w:sz w:val="24"/>
              </w:rPr>
              <w:t xml:space="preserve">. </w:t>
            </w:r>
            <w:r w:rsidR="00BC6C14" w:rsidRPr="00572CBC">
              <w:rPr>
                <w:sz w:val="24"/>
              </w:rPr>
              <w:t xml:space="preserve">During the programme the </w:t>
            </w:r>
            <w:proofErr w:type="gramStart"/>
            <w:r w:rsidR="00BC6C14" w:rsidRPr="00572CBC">
              <w:rPr>
                <w:sz w:val="24"/>
              </w:rPr>
              <w:t>boys</w:t>
            </w:r>
            <w:proofErr w:type="gramEnd"/>
            <w:r w:rsidR="00BC6C14" w:rsidRPr="00572CBC">
              <w:rPr>
                <w:sz w:val="24"/>
              </w:rPr>
              <w:t xml:space="preserve"> benefit from a range of </w:t>
            </w:r>
            <w:proofErr w:type="spellStart"/>
            <w:r w:rsidR="00BC6C14" w:rsidRPr="00572CBC">
              <w:rPr>
                <w:sz w:val="24"/>
              </w:rPr>
              <w:t>targetted</w:t>
            </w:r>
            <w:proofErr w:type="spellEnd"/>
            <w:r w:rsidR="00BC6C14" w:rsidRPr="00572CBC">
              <w:rPr>
                <w:sz w:val="24"/>
              </w:rPr>
              <w:t xml:space="preserve"> interventions</w:t>
            </w:r>
            <w:r w:rsidR="00BC6C14" w:rsidRPr="00572CBC">
              <w:rPr>
                <w:b/>
                <w:bCs/>
                <w:sz w:val="24"/>
              </w:rPr>
              <w:t xml:space="preserve"> </w:t>
            </w:r>
            <w:r w:rsidR="00BC6C14" w:rsidRPr="00572CBC">
              <w:rPr>
                <w:sz w:val="24"/>
              </w:rPr>
              <w:t xml:space="preserve">designed to improve and support their social skills, resilience, </w:t>
            </w:r>
            <w:proofErr w:type="spellStart"/>
            <w:r w:rsidR="00BC6C14" w:rsidRPr="00572CBC">
              <w:rPr>
                <w:sz w:val="24"/>
              </w:rPr>
              <w:t>self esteem</w:t>
            </w:r>
            <w:proofErr w:type="spellEnd"/>
            <w:r w:rsidR="00BC6C14" w:rsidRPr="00572CBC">
              <w:rPr>
                <w:sz w:val="24"/>
              </w:rPr>
              <w:t xml:space="preserve"> and mental health challenges, alongside </w:t>
            </w:r>
            <w:r w:rsidR="00ED1E30" w:rsidRPr="00572CBC">
              <w:rPr>
                <w:sz w:val="24"/>
              </w:rPr>
              <w:t xml:space="preserve">study skills and academic enrichment. </w:t>
            </w:r>
            <w:r w:rsidR="002C4172" w:rsidRPr="00572CBC">
              <w:rPr>
                <w:sz w:val="24"/>
              </w:rPr>
              <w:t xml:space="preserve">Separate PTs are set up to further support the boys on the </w:t>
            </w:r>
            <w:r w:rsidR="00F26834" w:rsidRPr="00572CBC">
              <w:rPr>
                <w:sz w:val="24"/>
              </w:rPr>
              <w:t>programme, enabling enhanced and highly focused pastoral support reflecting the higher presenting need here.</w:t>
            </w:r>
          </w:p>
        </w:tc>
        <w:tc>
          <w:tcPr>
            <w:tcW w:w="2545" w:type="dxa"/>
          </w:tcPr>
          <w:p w14:paraId="66C3F4E1" w14:textId="484EC83A" w:rsidR="002107F9" w:rsidRDefault="002107F9" w:rsidP="002107F9">
            <w:pPr>
              <w:pStyle w:val="TableParagraph"/>
              <w:ind w:left="165"/>
              <w:rPr>
                <w:color w:val="0D0D0D"/>
                <w:sz w:val="24"/>
              </w:rPr>
            </w:pPr>
            <w:r>
              <w:rPr>
                <w:color w:val="0D0D0D"/>
                <w:sz w:val="24"/>
              </w:rPr>
              <w:t>1, 2, 3</w:t>
            </w:r>
          </w:p>
        </w:tc>
      </w:tr>
      <w:tr w:rsidR="002107F9" w14:paraId="6245411E" w14:textId="77777777" w:rsidTr="00E3212D">
        <w:trPr>
          <w:trHeight w:val="997"/>
        </w:trPr>
        <w:tc>
          <w:tcPr>
            <w:tcW w:w="2689" w:type="dxa"/>
          </w:tcPr>
          <w:p w14:paraId="11102FD4" w14:textId="2E5FBF14" w:rsidR="002107F9" w:rsidRDefault="002107F9" w:rsidP="002107F9">
            <w:pPr>
              <w:pStyle w:val="TableParagraph"/>
              <w:ind w:right="403"/>
              <w:jc w:val="both"/>
              <w:rPr>
                <w:i/>
                <w:color w:val="0D0D0D"/>
                <w:sz w:val="24"/>
              </w:rPr>
            </w:pPr>
            <w:r>
              <w:rPr>
                <w:i/>
                <w:color w:val="0D0D0D"/>
                <w:sz w:val="24"/>
              </w:rPr>
              <w:t>Phonics training planned for key colleagues within English department</w:t>
            </w:r>
            <w:r w:rsidR="006A2A6A">
              <w:rPr>
                <w:i/>
                <w:color w:val="0D0D0D"/>
                <w:sz w:val="24"/>
              </w:rPr>
              <w:t xml:space="preserve"> </w:t>
            </w:r>
            <w:r w:rsidR="006A2A6A" w:rsidRPr="00DD1224">
              <w:rPr>
                <w:i/>
                <w:sz w:val="24"/>
              </w:rPr>
              <w:t>and the SEND department</w:t>
            </w:r>
          </w:p>
        </w:tc>
        <w:tc>
          <w:tcPr>
            <w:tcW w:w="4256" w:type="dxa"/>
          </w:tcPr>
          <w:p w14:paraId="78B24B2A" w14:textId="1FA6330B" w:rsidR="002C18AE" w:rsidRPr="00DD1224" w:rsidRDefault="00E00165" w:rsidP="00DD1224">
            <w:pPr>
              <w:pStyle w:val="TableParagraph"/>
              <w:ind w:left="0" w:right="302"/>
              <w:rPr>
                <w:sz w:val="24"/>
              </w:rPr>
            </w:pPr>
            <w:r w:rsidRPr="00DD1224">
              <w:rPr>
                <w:sz w:val="24"/>
              </w:rPr>
              <w:t xml:space="preserve">Reading age testing identifies learners reading ages. Learners who have a lower than chronological reading age are analysed for phonics gaps. </w:t>
            </w:r>
            <w:r w:rsidR="00B56179" w:rsidRPr="00DD1224">
              <w:rPr>
                <w:sz w:val="24"/>
              </w:rPr>
              <w:t>If phonics gaps are identified a daily phonics intervention programme is put into place, using trained teachers. Progress on this is regularly monitored and tracked. Disadvantaged learners make up</w:t>
            </w:r>
            <w:r w:rsidR="00841591" w:rsidRPr="00DD1224">
              <w:rPr>
                <w:sz w:val="24"/>
              </w:rPr>
              <w:t xml:space="preserve"> 80</w:t>
            </w:r>
            <w:proofErr w:type="gramStart"/>
            <w:r w:rsidR="00841591" w:rsidRPr="00DD1224">
              <w:rPr>
                <w:sz w:val="24"/>
              </w:rPr>
              <w:t xml:space="preserve">% </w:t>
            </w:r>
            <w:r w:rsidR="00DD1224" w:rsidRPr="00DD1224">
              <w:rPr>
                <w:sz w:val="24"/>
              </w:rPr>
              <w:t xml:space="preserve"> </w:t>
            </w:r>
            <w:r w:rsidR="00841591" w:rsidRPr="00DD1224">
              <w:rPr>
                <w:sz w:val="24"/>
              </w:rPr>
              <w:t>of</w:t>
            </w:r>
            <w:proofErr w:type="gramEnd"/>
            <w:r w:rsidR="00841591" w:rsidRPr="00DD1224">
              <w:rPr>
                <w:sz w:val="24"/>
              </w:rPr>
              <w:t xml:space="preserve"> this intervention.</w:t>
            </w:r>
          </w:p>
          <w:p w14:paraId="35079560" w14:textId="55843EA6" w:rsidR="002C18AE" w:rsidRDefault="002C18AE" w:rsidP="002107F9">
            <w:pPr>
              <w:pStyle w:val="TableParagraph"/>
              <w:ind w:left="167" w:right="302"/>
              <w:rPr>
                <w:color w:val="0D0D0D"/>
                <w:sz w:val="24"/>
              </w:rPr>
            </w:pPr>
          </w:p>
        </w:tc>
        <w:tc>
          <w:tcPr>
            <w:tcW w:w="2545" w:type="dxa"/>
          </w:tcPr>
          <w:p w14:paraId="7EFA4565" w14:textId="725F1427" w:rsidR="002107F9" w:rsidRDefault="002107F9" w:rsidP="002107F9">
            <w:pPr>
              <w:pStyle w:val="TableParagraph"/>
              <w:ind w:left="165"/>
              <w:rPr>
                <w:color w:val="0D0D0D"/>
                <w:sz w:val="24"/>
              </w:rPr>
            </w:pPr>
            <w:r>
              <w:rPr>
                <w:color w:val="0D0D0D"/>
                <w:sz w:val="24"/>
              </w:rPr>
              <w:t>1, 3</w:t>
            </w:r>
          </w:p>
        </w:tc>
      </w:tr>
      <w:tr w:rsidR="002107F9" w14:paraId="21FD1312" w14:textId="77777777" w:rsidTr="00E3212D">
        <w:trPr>
          <w:trHeight w:val="997"/>
        </w:trPr>
        <w:tc>
          <w:tcPr>
            <w:tcW w:w="2689" w:type="dxa"/>
          </w:tcPr>
          <w:p w14:paraId="6D5F7462" w14:textId="4495096A" w:rsidR="002107F9" w:rsidRDefault="002107F9" w:rsidP="002107F9">
            <w:pPr>
              <w:pStyle w:val="TableParagraph"/>
              <w:ind w:right="403"/>
              <w:jc w:val="both"/>
              <w:rPr>
                <w:i/>
                <w:color w:val="0D0D0D"/>
                <w:sz w:val="24"/>
              </w:rPr>
            </w:pPr>
            <w:r>
              <w:rPr>
                <w:i/>
                <w:color w:val="0D0D0D"/>
                <w:sz w:val="24"/>
              </w:rPr>
              <w:t>Designated Literacy and numeracy coordinators to lead on projects related to cross curricular skills</w:t>
            </w:r>
          </w:p>
        </w:tc>
        <w:tc>
          <w:tcPr>
            <w:tcW w:w="4256" w:type="dxa"/>
          </w:tcPr>
          <w:p w14:paraId="0200B8AF" w14:textId="2496FB0E" w:rsidR="002107F9" w:rsidRDefault="002107F9" w:rsidP="002107F9">
            <w:pPr>
              <w:pStyle w:val="TableParagraph"/>
              <w:ind w:left="167" w:right="302"/>
              <w:rPr>
                <w:color w:val="0D0D0D"/>
                <w:sz w:val="24"/>
              </w:rPr>
            </w:pPr>
            <w:r>
              <w:rPr>
                <w:color w:val="0D0D0D"/>
                <w:sz w:val="24"/>
              </w:rPr>
              <w:t>SSAT commentary on importance of numeracy. EEF Toolkit: Oracy + 6 months; reading comprehension + 6 months</w:t>
            </w:r>
          </w:p>
        </w:tc>
        <w:tc>
          <w:tcPr>
            <w:tcW w:w="2545" w:type="dxa"/>
          </w:tcPr>
          <w:p w14:paraId="70B9C665" w14:textId="4F2A0FDE" w:rsidR="002107F9" w:rsidRDefault="002107F9" w:rsidP="002107F9">
            <w:pPr>
              <w:pStyle w:val="TableParagraph"/>
              <w:ind w:left="165"/>
              <w:rPr>
                <w:color w:val="0D0D0D"/>
                <w:sz w:val="24"/>
              </w:rPr>
            </w:pPr>
            <w:r>
              <w:rPr>
                <w:color w:val="0D0D0D"/>
                <w:sz w:val="24"/>
              </w:rPr>
              <w:t>1, 3</w:t>
            </w:r>
          </w:p>
        </w:tc>
      </w:tr>
      <w:tr w:rsidR="002107F9" w14:paraId="747351CF" w14:textId="77777777" w:rsidTr="00E3212D">
        <w:trPr>
          <w:trHeight w:val="997"/>
        </w:trPr>
        <w:tc>
          <w:tcPr>
            <w:tcW w:w="2689" w:type="dxa"/>
          </w:tcPr>
          <w:p w14:paraId="1BAF91F1" w14:textId="77777777" w:rsidR="002107F9" w:rsidRDefault="002107F9" w:rsidP="002107F9">
            <w:pPr>
              <w:pStyle w:val="TableParagraph"/>
              <w:spacing w:before="54"/>
              <w:ind w:right="430"/>
              <w:rPr>
                <w:i/>
                <w:sz w:val="24"/>
              </w:rPr>
            </w:pPr>
            <w:r>
              <w:rPr>
                <w:i/>
                <w:color w:val="0D0D0D"/>
                <w:sz w:val="24"/>
              </w:rPr>
              <w:lastRenderedPageBreak/>
              <w:t>Generous PPA designation for teaching staff – all to receive at least a full day for planning.</w:t>
            </w:r>
          </w:p>
          <w:p w14:paraId="70E420E1" w14:textId="397E794F" w:rsidR="002107F9" w:rsidRDefault="002107F9" w:rsidP="002107F9">
            <w:pPr>
              <w:pStyle w:val="TableParagraph"/>
              <w:ind w:right="403"/>
              <w:jc w:val="both"/>
              <w:rPr>
                <w:i/>
                <w:color w:val="0D0D0D"/>
                <w:sz w:val="24"/>
              </w:rPr>
            </w:pPr>
            <w:r>
              <w:rPr>
                <w:i/>
                <w:color w:val="0D0D0D"/>
                <w:sz w:val="24"/>
              </w:rPr>
              <w:t>Generous PPA for staff with pastoral and additional responsibilities.</w:t>
            </w:r>
          </w:p>
        </w:tc>
        <w:tc>
          <w:tcPr>
            <w:tcW w:w="4256" w:type="dxa"/>
          </w:tcPr>
          <w:p w14:paraId="7ACE56D0" w14:textId="6180615C" w:rsidR="002107F9" w:rsidRDefault="002107F9" w:rsidP="002107F9">
            <w:pPr>
              <w:pStyle w:val="TableParagraph"/>
              <w:ind w:left="167" w:right="302"/>
              <w:rPr>
                <w:color w:val="0D0D0D"/>
                <w:sz w:val="24"/>
              </w:rPr>
            </w:pPr>
            <w:r>
              <w:rPr>
                <w:color w:val="0D0D0D"/>
                <w:sz w:val="24"/>
              </w:rPr>
              <w:t xml:space="preserve">Allows for carefully planned resources and </w:t>
            </w:r>
            <w:r w:rsidR="00B5452F">
              <w:rPr>
                <w:color w:val="0D0D0D"/>
                <w:sz w:val="24"/>
              </w:rPr>
              <w:t>high-quality</w:t>
            </w:r>
            <w:r>
              <w:rPr>
                <w:color w:val="0D0D0D"/>
                <w:sz w:val="24"/>
              </w:rPr>
              <w:t xml:space="preserve"> teaching </w:t>
            </w:r>
            <w:r w:rsidRPr="00DD1224">
              <w:rPr>
                <w:sz w:val="24"/>
              </w:rPr>
              <w:t>performance, and pastoral interventions</w:t>
            </w:r>
            <w:r w:rsidR="002A4633" w:rsidRPr="00DD1224">
              <w:rPr>
                <w:sz w:val="24"/>
              </w:rPr>
              <w:t xml:space="preserve"> for our disadvantaged learners.</w:t>
            </w:r>
          </w:p>
        </w:tc>
        <w:tc>
          <w:tcPr>
            <w:tcW w:w="2545" w:type="dxa"/>
          </w:tcPr>
          <w:p w14:paraId="58E56C29" w14:textId="64159C42" w:rsidR="002107F9" w:rsidRDefault="002107F9" w:rsidP="002107F9">
            <w:pPr>
              <w:pStyle w:val="TableParagraph"/>
              <w:ind w:left="165"/>
              <w:rPr>
                <w:color w:val="0D0D0D"/>
                <w:sz w:val="24"/>
              </w:rPr>
            </w:pPr>
            <w:r>
              <w:rPr>
                <w:color w:val="0D0D0D"/>
                <w:sz w:val="24"/>
              </w:rPr>
              <w:t>1, 2, 3</w:t>
            </w:r>
          </w:p>
        </w:tc>
      </w:tr>
    </w:tbl>
    <w:p w14:paraId="6D23AF82" w14:textId="61717771" w:rsidR="00B2323F" w:rsidRDefault="00B2323F">
      <w:pPr>
        <w:spacing w:line="290" w:lineRule="atLeast"/>
        <w:rPr>
          <w:sz w:val="24"/>
        </w:rPr>
        <w:sectPr w:rsidR="00B2323F" w:rsidSect="00BE7C4D">
          <w:pgSz w:w="11910" w:h="16840"/>
          <w:pgMar w:top="1080" w:right="1160" w:bottom="960" w:left="1020" w:header="0" w:footer="696" w:gutter="0"/>
          <w:cols w:space="720"/>
        </w:sectPr>
      </w:pPr>
    </w:p>
    <w:p w14:paraId="3914B49D" w14:textId="77777777" w:rsidR="002107F9" w:rsidRDefault="002107F9" w:rsidP="002107F9">
      <w:pPr>
        <w:spacing w:before="51" w:line="288" w:lineRule="auto"/>
        <w:ind w:right="1462"/>
        <w:rPr>
          <w:b/>
          <w:sz w:val="24"/>
        </w:rPr>
      </w:pPr>
      <w:r>
        <w:rPr>
          <w:b/>
          <w:color w:val="0F4F75"/>
          <w:sz w:val="24"/>
        </w:rPr>
        <w:lastRenderedPageBreak/>
        <w:t>Targeted academic support (for example, tutoring, one-to-one support structured interventions)</w:t>
      </w:r>
    </w:p>
    <w:p w14:paraId="6A61CD90" w14:textId="77777777" w:rsidR="002107F9" w:rsidRPr="00E3212D" w:rsidRDefault="002107F9" w:rsidP="002107F9">
      <w:pPr>
        <w:spacing w:before="9"/>
        <w:rPr>
          <w:b/>
          <w:color w:val="00B050"/>
          <w:sz w:val="19"/>
        </w:rPr>
      </w:pPr>
    </w:p>
    <w:tbl>
      <w:tblPr>
        <w:tblpPr w:leftFromText="180" w:rightFromText="180" w:vertAnchor="text" w:horzAnchor="margin" w:tblpY="9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4256"/>
        <w:gridCol w:w="2545"/>
      </w:tblGrid>
      <w:tr w:rsidR="002107F9" w14:paraId="67B0A4A8" w14:textId="77777777" w:rsidTr="002107F9">
        <w:trPr>
          <w:trHeight w:val="705"/>
        </w:trPr>
        <w:tc>
          <w:tcPr>
            <w:tcW w:w="2689" w:type="dxa"/>
            <w:shd w:val="clear" w:color="auto" w:fill="D7E1E9"/>
          </w:tcPr>
          <w:p w14:paraId="7DA8F400" w14:textId="77777777" w:rsidR="002107F9" w:rsidRDefault="002107F9" w:rsidP="002107F9">
            <w:pPr>
              <w:pStyle w:val="TableParagraph"/>
              <w:rPr>
                <w:b/>
                <w:sz w:val="24"/>
              </w:rPr>
            </w:pPr>
            <w:r>
              <w:rPr>
                <w:b/>
                <w:color w:val="0D0D0D"/>
                <w:sz w:val="24"/>
              </w:rPr>
              <w:t>Activity</w:t>
            </w:r>
          </w:p>
        </w:tc>
        <w:tc>
          <w:tcPr>
            <w:tcW w:w="4256" w:type="dxa"/>
            <w:shd w:val="clear" w:color="auto" w:fill="D7E1E9"/>
          </w:tcPr>
          <w:p w14:paraId="55A5ABC5" w14:textId="77777777" w:rsidR="002107F9" w:rsidRDefault="002107F9" w:rsidP="002107F9">
            <w:pPr>
              <w:pStyle w:val="TableParagraph"/>
              <w:ind w:left="167"/>
              <w:rPr>
                <w:b/>
                <w:sz w:val="24"/>
              </w:rPr>
            </w:pPr>
            <w:r>
              <w:rPr>
                <w:b/>
                <w:color w:val="0D0D0D"/>
                <w:sz w:val="24"/>
              </w:rPr>
              <w:t>Evidence that supports this approach</w:t>
            </w:r>
          </w:p>
        </w:tc>
        <w:tc>
          <w:tcPr>
            <w:tcW w:w="2545" w:type="dxa"/>
            <w:shd w:val="clear" w:color="auto" w:fill="D7E1E9"/>
          </w:tcPr>
          <w:p w14:paraId="4FBB8380" w14:textId="77777777" w:rsidR="002107F9" w:rsidRDefault="002107F9" w:rsidP="002107F9">
            <w:pPr>
              <w:pStyle w:val="TableParagraph"/>
              <w:ind w:left="165" w:right="286"/>
              <w:rPr>
                <w:b/>
                <w:sz w:val="24"/>
              </w:rPr>
            </w:pPr>
            <w:r>
              <w:rPr>
                <w:b/>
                <w:color w:val="0D0D0D"/>
                <w:sz w:val="24"/>
              </w:rPr>
              <w:t>Challenge number(s) addressed</w:t>
            </w:r>
          </w:p>
        </w:tc>
      </w:tr>
      <w:tr w:rsidR="002107F9" w14:paraId="0961EAE9" w14:textId="77777777" w:rsidTr="002107F9">
        <w:trPr>
          <w:trHeight w:val="1525"/>
        </w:trPr>
        <w:tc>
          <w:tcPr>
            <w:tcW w:w="2689" w:type="dxa"/>
          </w:tcPr>
          <w:p w14:paraId="7EA9B517" w14:textId="77777777" w:rsidR="002107F9" w:rsidRDefault="002107F9" w:rsidP="002107F9">
            <w:pPr>
              <w:pStyle w:val="TableParagraph"/>
              <w:spacing w:line="242" w:lineRule="auto"/>
              <w:ind w:right="143"/>
              <w:rPr>
                <w:sz w:val="24"/>
              </w:rPr>
            </w:pPr>
            <w:r>
              <w:rPr>
                <w:color w:val="0D0D0D"/>
                <w:sz w:val="24"/>
              </w:rPr>
              <w:t xml:space="preserve">Learning Support, </w:t>
            </w:r>
            <w:proofErr w:type="gramStart"/>
            <w:r>
              <w:rPr>
                <w:color w:val="0D0D0D"/>
                <w:sz w:val="24"/>
              </w:rPr>
              <w:t>counselling</w:t>
            </w:r>
            <w:proofErr w:type="gramEnd"/>
            <w:r>
              <w:rPr>
                <w:color w:val="0D0D0D"/>
                <w:sz w:val="24"/>
              </w:rPr>
              <w:t xml:space="preserve"> and Nurture</w:t>
            </w:r>
          </w:p>
        </w:tc>
        <w:tc>
          <w:tcPr>
            <w:tcW w:w="4256" w:type="dxa"/>
          </w:tcPr>
          <w:p w14:paraId="4F95416B" w14:textId="77777777" w:rsidR="002107F9" w:rsidRDefault="002107F9" w:rsidP="002107F9">
            <w:pPr>
              <w:pStyle w:val="TableParagraph"/>
              <w:ind w:left="167" w:right="521"/>
              <w:rPr>
                <w:sz w:val="24"/>
              </w:rPr>
            </w:pPr>
            <w:r>
              <w:rPr>
                <w:color w:val="0D0D0D"/>
                <w:sz w:val="24"/>
              </w:rPr>
              <w:t xml:space="preserve">29% of the students in the nurture group last year were disadvantaged. The </w:t>
            </w:r>
            <w:proofErr w:type="gramStart"/>
            <w:r>
              <w:rPr>
                <w:color w:val="0D0D0D"/>
                <w:sz w:val="24"/>
              </w:rPr>
              <w:t>School</w:t>
            </w:r>
            <w:proofErr w:type="gramEnd"/>
            <w:r>
              <w:rPr>
                <w:color w:val="0D0D0D"/>
                <w:sz w:val="24"/>
              </w:rPr>
              <w:t xml:space="preserve"> also provided private</w:t>
            </w:r>
          </w:p>
          <w:p w14:paraId="2BFB8EB3" w14:textId="768C756D" w:rsidR="002107F9" w:rsidRDefault="002107F9" w:rsidP="002107F9">
            <w:pPr>
              <w:pStyle w:val="TableParagraph"/>
              <w:spacing w:before="2" w:line="290" w:lineRule="atLeast"/>
              <w:ind w:left="167" w:right="255"/>
              <w:rPr>
                <w:sz w:val="24"/>
              </w:rPr>
            </w:pPr>
            <w:r>
              <w:rPr>
                <w:color w:val="0D0D0D"/>
                <w:sz w:val="24"/>
              </w:rPr>
              <w:t>counselling services to students as required, and 24% of the students who received this support last year were disadvantaged.</w:t>
            </w:r>
          </w:p>
        </w:tc>
        <w:tc>
          <w:tcPr>
            <w:tcW w:w="2545" w:type="dxa"/>
          </w:tcPr>
          <w:p w14:paraId="6C9E20EC" w14:textId="77777777" w:rsidR="002107F9" w:rsidRDefault="002107F9" w:rsidP="002107F9">
            <w:pPr>
              <w:pStyle w:val="TableParagraph"/>
              <w:ind w:left="165"/>
              <w:rPr>
                <w:sz w:val="24"/>
              </w:rPr>
            </w:pPr>
            <w:r>
              <w:rPr>
                <w:color w:val="0D0D0D"/>
                <w:sz w:val="24"/>
              </w:rPr>
              <w:t>1, 2, 5</w:t>
            </w:r>
          </w:p>
        </w:tc>
      </w:tr>
      <w:tr w:rsidR="002107F9" w14:paraId="3AC6B3AA" w14:textId="77777777" w:rsidTr="002107F9">
        <w:trPr>
          <w:trHeight w:val="1525"/>
        </w:trPr>
        <w:tc>
          <w:tcPr>
            <w:tcW w:w="2689" w:type="dxa"/>
          </w:tcPr>
          <w:p w14:paraId="725A5C2C" w14:textId="542E316B" w:rsidR="002107F9" w:rsidRDefault="002107F9" w:rsidP="002107F9">
            <w:pPr>
              <w:pStyle w:val="TableParagraph"/>
              <w:spacing w:line="242" w:lineRule="auto"/>
              <w:ind w:right="143"/>
              <w:rPr>
                <w:color w:val="0D0D0D"/>
                <w:sz w:val="24"/>
              </w:rPr>
            </w:pPr>
            <w:r>
              <w:rPr>
                <w:color w:val="0D0D0D"/>
                <w:sz w:val="24"/>
              </w:rPr>
              <w:t>Targeted class extraction for those requiring it</w:t>
            </w:r>
          </w:p>
        </w:tc>
        <w:tc>
          <w:tcPr>
            <w:tcW w:w="4256" w:type="dxa"/>
          </w:tcPr>
          <w:p w14:paraId="0F8F0A1C" w14:textId="020A052B" w:rsidR="002107F9" w:rsidRDefault="002107F9" w:rsidP="002107F9">
            <w:pPr>
              <w:pStyle w:val="TableParagraph"/>
              <w:ind w:left="167" w:right="521"/>
              <w:rPr>
                <w:color w:val="0D0D0D"/>
                <w:sz w:val="24"/>
              </w:rPr>
            </w:pPr>
            <w:r>
              <w:rPr>
                <w:color w:val="0D0D0D"/>
                <w:sz w:val="24"/>
              </w:rPr>
              <w:t>Bespoke intervention work to take place, and disadvantaged students will be disproportionately represented in this area. EEF toolkit + 5 months</w:t>
            </w:r>
          </w:p>
        </w:tc>
        <w:tc>
          <w:tcPr>
            <w:tcW w:w="2545" w:type="dxa"/>
          </w:tcPr>
          <w:p w14:paraId="7D838D0A" w14:textId="5574E3AA" w:rsidR="002107F9" w:rsidRDefault="002107F9" w:rsidP="002107F9">
            <w:pPr>
              <w:pStyle w:val="TableParagraph"/>
              <w:ind w:left="165"/>
              <w:rPr>
                <w:color w:val="0D0D0D"/>
                <w:sz w:val="24"/>
              </w:rPr>
            </w:pPr>
            <w:r>
              <w:rPr>
                <w:color w:val="0D0D0D"/>
                <w:sz w:val="24"/>
              </w:rPr>
              <w:t>1, 3</w:t>
            </w:r>
          </w:p>
        </w:tc>
      </w:tr>
      <w:tr w:rsidR="002107F9" w14:paraId="7878F44F" w14:textId="77777777" w:rsidTr="002107F9">
        <w:trPr>
          <w:trHeight w:val="1525"/>
        </w:trPr>
        <w:tc>
          <w:tcPr>
            <w:tcW w:w="2689" w:type="dxa"/>
          </w:tcPr>
          <w:p w14:paraId="63F3A318" w14:textId="004ECE93" w:rsidR="002107F9" w:rsidRDefault="002107F9" w:rsidP="002107F9">
            <w:pPr>
              <w:pStyle w:val="TableParagraph"/>
              <w:spacing w:line="242" w:lineRule="auto"/>
              <w:ind w:right="143"/>
              <w:rPr>
                <w:color w:val="0D0D0D"/>
                <w:sz w:val="24"/>
              </w:rPr>
            </w:pPr>
            <w:r>
              <w:rPr>
                <w:color w:val="0D0D0D"/>
                <w:sz w:val="24"/>
              </w:rPr>
              <w:t>Session 3 support</w:t>
            </w:r>
          </w:p>
        </w:tc>
        <w:tc>
          <w:tcPr>
            <w:tcW w:w="4256" w:type="dxa"/>
          </w:tcPr>
          <w:p w14:paraId="14C4B51A" w14:textId="6A579166" w:rsidR="002107F9" w:rsidRDefault="002107F9" w:rsidP="002107F9">
            <w:pPr>
              <w:pStyle w:val="TableParagraph"/>
              <w:ind w:left="167" w:right="521"/>
              <w:rPr>
                <w:color w:val="0D0D0D"/>
                <w:sz w:val="24"/>
              </w:rPr>
            </w:pPr>
            <w:r>
              <w:rPr>
                <w:color w:val="0D0D0D"/>
                <w:sz w:val="24"/>
              </w:rPr>
              <w:t xml:space="preserve">Students can take part in a range of academic and extra-curricular sessions in large group, small </w:t>
            </w:r>
            <w:proofErr w:type="gramStart"/>
            <w:r>
              <w:rPr>
                <w:color w:val="0D0D0D"/>
                <w:sz w:val="24"/>
              </w:rPr>
              <w:t>group</w:t>
            </w:r>
            <w:proofErr w:type="gramEnd"/>
            <w:r>
              <w:rPr>
                <w:color w:val="0D0D0D"/>
                <w:sz w:val="24"/>
              </w:rPr>
              <w:t xml:space="preserve"> and one-to- one sessions as appropriate. Extensive EEF proof.</w:t>
            </w:r>
          </w:p>
        </w:tc>
        <w:tc>
          <w:tcPr>
            <w:tcW w:w="2545" w:type="dxa"/>
          </w:tcPr>
          <w:p w14:paraId="596450B4" w14:textId="3C71F882" w:rsidR="002107F9" w:rsidRDefault="002107F9" w:rsidP="002107F9">
            <w:pPr>
              <w:pStyle w:val="TableParagraph"/>
              <w:ind w:left="165"/>
              <w:rPr>
                <w:color w:val="0D0D0D"/>
                <w:sz w:val="24"/>
              </w:rPr>
            </w:pPr>
            <w:r>
              <w:rPr>
                <w:color w:val="0D0D0D"/>
                <w:sz w:val="24"/>
              </w:rPr>
              <w:t>1, 2, 3, 4, 5</w:t>
            </w:r>
          </w:p>
        </w:tc>
      </w:tr>
      <w:tr w:rsidR="002107F9" w14:paraId="053C8E88" w14:textId="77777777" w:rsidTr="002107F9">
        <w:trPr>
          <w:trHeight w:val="1525"/>
        </w:trPr>
        <w:tc>
          <w:tcPr>
            <w:tcW w:w="2689" w:type="dxa"/>
          </w:tcPr>
          <w:p w14:paraId="6F1F32C7" w14:textId="7B575E27" w:rsidR="002107F9" w:rsidRDefault="002107F9" w:rsidP="002107F9">
            <w:pPr>
              <w:pStyle w:val="TableParagraph"/>
              <w:spacing w:line="242" w:lineRule="auto"/>
              <w:ind w:right="143"/>
              <w:rPr>
                <w:color w:val="0D0D0D"/>
                <w:sz w:val="24"/>
              </w:rPr>
            </w:pPr>
            <w:r>
              <w:rPr>
                <w:i/>
                <w:color w:val="0D0D0D"/>
                <w:sz w:val="24"/>
              </w:rPr>
              <w:t>Weekend school and Saturday school</w:t>
            </w:r>
          </w:p>
        </w:tc>
        <w:tc>
          <w:tcPr>
            <w:tcW w:w="4256" w:type="dxa"/>
          </w:tcPr>
          <w:p w14:paraId="1AEBDDB4" w14:textId="61C3F095" w:rsidR="002107F9" w:rsidRDefault="002107F9" w:rsidP="002107F9">
            <w:pPr>
              <w:pStyle w:val="TableParagraph"/>
              <w:ind w:left="167" w:right="521"/>
              <w:rPr>
                <w:color w:val="0D0D0D"/>
                <w:sz w:val="24"/>
              </w:rPr>
            </w:pPr>
            <w:r>
              <w:rPr>
                <w:color w:val="0D0D0D"/>
                <w:sz w:val="24"/>
              </w:rPr>
              <w:t>Students will have the opportunity to attend sessions to receive intervention work. Provision also made for Year 6 transition days. Extensive EEF proof.</w:t>
            </w:r>
          </w:p>
        </w:tc>
        <w:tc>
          <w:tcPr>
            <w:tcW w:w="2545" w:type="dxa"/>
          </w:tcPr>
          <w:p w14:paraId="65A4FAF6" w14:textId="34F16C0E" w:rsidR="002107F9" w:rsidRDefault="002107F9" w:rsidP="002107F9">
            <w:pPr>
              <w:pStyle w:val="TableParagraph"/>
              <w:ind w:left="165"/>
              <w:rPr>
                <w:color w:val="0D0D0D"/>
                <w:sz w:val="24"/>
              </w:rPr>
            </w:pPr>
            <w:r>
              <w:rPr>
                <w:color w:val="0D0D0D"/>
                <w:sz w:val="24"/>
              </w:rPr>
              <w:t>1, 2, 3</w:t>
            </w:r>
          </w:p>
        </w:tc>
      </w:tr>
      <w:tr w:rsidR="002107F9" w14:paraId="1906369F" w14:textId="77777777" w:rsidTr="002107F9">
        <w:trPr>
          <w:trHeight w:val="1525"/>
        </w:trPr>
        <w:tc>
          <w:tcPr>
            <w:tcW w:w="2689" w:type="dxa"/>
          </w:tcPr>
          <w:p w14:paraId="3A21814F" w14:textId="2CCB2C74" w:rsidR="002107F9" w:rsidRDefault="002107F9" w:rsidP="002107F9">
            <w:pPr>
              <w:pStyle w:val="TableParagraph"/>
              <w:spacing w:line="242" w:lineRule="auto"/>
              <w:ind w:right="143"/>
              <w:rPr>
                <w:color w:val="0D0D0D"/>
                <w:sz w:val="24"/>
              </w:rPr>
            </w:pPr>
            <w:r>
              <w:rPr>
                <w:i/>
                <w:color w:val="0D0D0D"/>
                <w:sz w:val="24"/>
              </w:rPr>
              <w:t>National tutoring Programme for those requiring it</w:t>
            </w:r>
          </w:p>
        </w:tc>
        <w:tc>
          <w:tcPr>
            <w:tcW w:w="4256" w:type="dxa"/>
          </w:tcPr>
          <w:p w14:paraId="326A9003" w14:textId="0975300A" w:rsidR="002107F9" w:rsidRDefault="002107F9" w:rsidP="002107F9">
            <w:pPr>
              <w:pStyle w:val="TableParagraph"/>
              <w:ind w:left="167" w:right="521"/>
              <w:rPr>
                <w:color w:val="0D0D0D"/>
                <w:sz w:val="24"/>
              </w:rPr>
            </w:pPr>
            <w:r>
              <w:rPr>
                <w:color w:val="0D0D0D"/>
                <w:sz w:val="24"/>
              </w:rPr>
              <w:t>EEF toolkit + 4 months</w:t>
            </w:r>
          </w:p>
        </w:tc>
        <w:tc>
          <w:tcPr>
            <w:tcW w:w="2545" w:type="dxa"/>
          </w:tcPr>
          <w:p w14:paraId="3D23948A" w14:textId="6FC0B790" w:rsidR="002107F9" w:rsidRDefault="002107F9" w:rsidP="002107F9">
            <w:pPr>
              <w:pStyle w:val="TableParagraph"/>
              <w:ind w:left="165"/>
              <w:rPr>
                <w:color w:val="0D0D0D"/>
                <w:sz w:val="24"/>
              </w:rPr>
            </w:pPr>
            <w:r>
              <w:rPr>
                <w:color w:val="0D0D0D"/>
                <w:sz w:val="24"/>
              </w:rPr>
              <w:t>1, 3</w:t>
            </w:r>
          </w:p>
        </w:tc>
      </w:tr>
    </w:tbl>
    <w:p w14:paraId="4518080C" w14:textId="77777777" w:rsidR="002107F9" w:rsidRPr="00A21FCD" w:rsidRDefault="002107F9" w:rsidP="002107F9">
      <w:pPr>
        <w:ind w:left="112"/>
        <w:rPr>
          <w:sz w:val="24"/>
        </w:rPr>
      </w:pPr>
      <w:r w:rsidRPr="00A21FCD">
        <w:rPr>
          <w:sz w:val="24"/>
        </w:rPr>
        <w:t>Budgeted cost: £55,000</w:t>
      </w:r>
    </w:p>
    <w:p w14:paraId="5F0E83A6" w14:textId="77777777" w:rsidR="00FF6C4B" w:rsidRDefault="00FF6C4B">
      <w:pPr>
        <w:rPr>
          <w:color w:val="00B050"/>
          <w:sz w:val="24"/>
        </w:rPr>
      </w:pPr>
    </w:p>
    <w:p w14:paraId="295914C7" w14:textId="77777777" w:rsidR="002107F9" w:rsidRPr="002107F9" w:rsidRDefault="002107F9" w:rsidP="002107F9">
      <w:pPr>
        <w:rPr>
          <w:sz w:val="24"/>
        </w:rPr>
      </w:pPr>
    </w:p>
    <w:p w14:paraId="71936AC7" w14:textId="77777777" w:rsidR="002107F9" w:rsidRPr="002107F9" w:rsidRDefault="002107F9" w:rsidP="002107F9">
      <w:pPr>
        <w:rPr>
          <w:sz w:val="24"/>
        </w:rPr>
      </w:pPr>
    </w:p>
    <w:p w14:paraId="69E65FD2" w14:textId="77777777" w:rsidR="002107F9" w:rsidRPr="002107F9" w:rsidRDefault="002107F9" w:rsidP="002107F9">
      <w:pPr>
        <w:rPr>
          <w:sz w:val="24"/>
        </w:rPr>
      </w:pPr>
    </w:p>
    <w:p w14:paraId="508C2961" w14:textId="77777777" w:rsidR="00B07C8B" w:rsidRDefault="00B07C8B" w:rsidP="002107F9">
      <w:pPr>
        <w:spacing w:before="51"/>
        <w:rPr>
          <w:b/>
          <w:color w:val="0F4F75"/>
          <w:sz w:val="24"/>
        </w:rPr>
      </w:pPr>
    </w:p>
    <w:p w14:paraId="57C8ED9D" w14:textId="77777777" w:rsidR="00B07C8B" w:rsidRDefault="00B07C8B" w:rsidP="002107F9">
      <w:pPr>
        <w:spacing w:before="51"/>
        <w:rPr>
          <w:b/>
          <w:color w:val="0F4F75"/>
          <w:sz w:val="24"/>
        </w:rPr>
      </w:pPr>
    </w:p>
    <w:p w14:paraId="746337EA" w14:textId="77777777" w:rsidR="00B07C8B" w:rsidRDefault="00B07C8B" w:rsidP="002107F9">
      <w:pPr>
        <w:spacing w:before="51"/>
        <w:rPr>
          <w:b/>
          <w:color w:val="0F4F75"/>
          <w:sz w:val="24"/>
        </w:rPr>
      </w:pPr>
    </w:p>
    <w:p w14:paraId="47E2ED54" w14:textId="77777777" w:rsidR="00B07C8B" w:rsidRDefault="00B07C8B" w:rsidP="002107F9">
      <w:pPr>
        <w:spacing w:before="51"/>
        <w:rPr>
          <w:b/>
          <w:color w:val="0F4F75"/>
          <w:sz w:val="24"/>
        </w:rPr>
      </w:pPr>
    </w:p>
    <w:p w14:paraId="06906012" w14:textId="77777777" w:rsidR="00B07C8B" w:rsidRDefault="00B07C8B" w:rsidP="002107F9">
      <w:pPr>
        <w:spacing w:before="51"/>
        <w:rPr>
          <w:b/>
          <w:color w:val="0F4F75"/>
          <w:sz w:val="24"/>
        </w:rPr>
      </w:pPr>
    </w:p>
    <w:p w14:paraId="1877A872" w14:textId="77777777" w:rsidR="00B07C8B" w:rsidRDefault="00B07C8B" w:rsidP="002107F9">
      <w:pPr>
        <w:spacing w:before="51"/>
        <w:rPr>
          <w:b/>
          <w:color w:val="0F4F75"/>
          <w:sz w:val="24"/>
        </w:rPr>
      </w:pPr>
    </w:p>
    <w:p w14:paraId="466F03B5" w14:textId="77777777" w:rsidR="00B07C8B" w:rsidRDefault="00B07C8B" w:rsidP="002107F9">
      <w:pPr>
        <w:spacing w:before="51"/>
        <w:rPr>
          <w:b/>
          <w:color w:val="0F4F75"/>
          <w:sz w:val="24"/>
        </w:rPr>
      </w:pPr>
    </w:p>
    <w:p w14:paraId="652DBDD7" w14:textId="77777777" w:rsidR="00B07C8B" w:rsidRDefault="00B07C8B" w:rsidP="002107F9">
      <w:pPr>
        <w:spacing w:before="51"/>
        <w:rPr>
          <w:b/>
          <w:color w:val="0F4F75"/>
          <w:sz w:val="24"/>
        </w:rPr>
      </w:pPr>
    </w:p>
    <w:p w14:paraId="65C78DB8" w14:textId="77777777" w:rsidR="00B07C8B" w:rsidRDefault="00B07C8B" w:rsidP="002107F9">
      <w:pPr>
        <w:spacing w:before="51"/>
        <w:rPr>
          <w:b/>
          <w:color w:val="0F4F75"/>
          <w:sz w:val="24"/>
        </w:rPr>
      </w:pPr>
    </w:p>
    <w:p w14:paraId="5F93C907" w14:textId="26D8C9EF" w:rsidR="002107F9" w:rsidRDefault="002107F9" w:rsidP="002107F9">
      <w:pPr>
        <w:spacing w:before="51"/>
        <w:rPr>
          <w:b/>
          <w:sz w:val="24"/>
        </w:rPr>
      </w:pPr>
      <w:r>
        <w:rPr>
          <w:b/>
          <w:color w:val="0F4F75"/>
          <w:sz w:val="24"/>
        </w:rPr>
        <w:lastRenderedPageBreak/>
        <w:t>Wider strategies (for example, related to attendance, behaviour, wellbeing)</w:t>
      </w:r>
    </w:p>
    <w:p w14:paraId="4393E8AF" w14:textId="77777777" w:rsidR="002107F9" w:rsidRPr="00E3212D" w:rsidRDefault="002107F9" w:rsidP="002107F9">
      <w:pPr>
        <w:spacing w:before="7"/>
        <w:rPr>
          <w:b/>
          <w:color w:val="00B050"/>
          <w:sz w:val="24"/>
        </w:rPr>
      </w:pPr>
    </w:p>
    <w:p w14:paraId="2EBC323A" w14:textId="1DCEF7AA" w:rsidR="002107F9" w:rsidRPr="00A21FCD" w:rsidRDefault="002107F9" w:rsidP="002107F9">
      <w:pPr>
        <w:ind w:left="112"/>
        <w:rPr>
          <w:sz w:val="24"/>
        </w:rPr>
      </w:pPr>
      <w:r w:rsidRPr="00A21FCD">
        <w:rPr>
          <w:sz w:val="24"/>
        </w:rPr>
        <w:t>Budgeted cost: £35,000</w:t>
      </w:r>
    </w:p>
    <w:p w14:paraId="11384DD8" w14:textId="77777777" w:rsidR="002107F9" w:rsidRPr="002107F9" w:rsidRDefault="002107F9" w:rsidP="002107F9">
      <w:pPr>
        <w:rPr>
          <w:sz w:val="24"/>
        </w:rPr>
      </w:pPr>
    </w:p>
    <w:p w14:paraId="32FE84C7" w14:textId="77777777" w:rsidR="002107F9" w:rsidRPr="002107F9" w:rsidRDefault="002107F9" w:rsidP="002107F9">
      <w:pPr>
        <w:rPr>
          <w:sz w:val="24"/>
        </w:rPr>
      </w:pPr>
    </w:p>
    <w:tbl>
      <w:tblPr>
        <w:tblpPr w:leftFromText="180" w:rightFromText="180" w:vertAnchor="text" w:horzAnchor="margin"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4256"/>
        <w:gridCol w:w="2545"/>
      </w:tblGrid>
      <w:tr w:rsidR="002107F9" w14:paraId="293563F0" w14:textId="77777777" w:rsidTr="002107F9">
        <w:trPr>
          <w:trHeight w:val="708"/>
        </w:trPr>
        <w:tc>
          <w:tcPr>
            <w:tcW w:w="2689" w:type="dxa"/>
            <w:shd w:val="clear" w:color="auto" w:fill="D7E1E9"/>
          </w:tcPr>
          <w:p w14:paraId="2961813E" w14:textId="77777777" w:rsidR="002107F9" w:rsidRDefault="002107F9" w:rsidP="002107F9">
            <w:pPr>
              <w:pStyle w:val="TableParagraph"/>
              <w:rPr>
                <w:b/>
                <w:sz w:val="24"/>
              </w:rPr>
            </w:pPr>
            <w:r>
              <w:rPr>
                <w:b/>
                <w:color w:val="0D0D0D"/>
                <w:sz w:val="24"/>
              </w:rPr>
              <w:t>Activity</w:t>
            </w:r>
          </w:p>
        </w:tc>
        <w:tc>
          <w:tcPr>
            <w:tcW w:w="4256" w:type="dxa"/>
            <w:shd w:val="clear" w:color="auto" w:fill="D7E1E9"/>
          </w:tcPr>
          <w:p w14:paraId="1CA7DDB3" w14:textId="77777777" w:rsidR="002107F9" w:rsidRDefault="002107F9" w:rsidP="002107F9">
            <w:pPr>
              <w:pStyle w:val="TableParagraph"/>
              <w:ind w:left="167"/>
              <w:rPr>
                <w:b/>
                <w:sz w:val="24"/>
              </w:rPr>
            </w:pPr>
            <w:r>
              <w:rPr>
                <w:b/>
                <w:color w:val="0D0D0D"/>
                <w:sz w:val="24"/>
              </w:rPr>
              <w:t>Evidence that supports this approach</w:t>
            </w:r>
          </w:p>
        </w:tc>
        <w:tc>
          <w:tcPr>
            <w:tcW w:w="2545" w:type="dxa"/>
            <w:shd w:val="clear" w:color="auto" w:fill="D7E1E9"/>
          </w:tcPr>
          <w:p w14:paraId="6EF0DC03" w14:textId="77777777" w:rsidR="002107F9" w:rsidRDefault="002107F9" w:rsidP="002107F9">
            <w:pPr>
              <w:pStyle w:val="TableParagraph"/>
              <w:ind w:left="165" w:right="286"/>
              <w:rPr>
                <w:b/>
                <w:sz w:val="24"/>
              </w:rPr>
            </w:pPr>
            <w:r>
              <w:rPr>
                <w:b/>
                <w:color w:val="0D0D0D"/>
                <w:sz w:val="24"/>
              </w:rPr>
              <w:t>Challenge number(s) addressed</w:t>
            </w:r>
          </w:p>
        </w:tc>
      </w:tr>
      <w:tr w:rsidR="002107F9" w14:paraId="735ECF64" w14:textId="77777777" w:rsidTr="002107F9">
        <w:trPr>
          <w:trHeight w:val="1290"/>
        </w:trPr>
        <w:tc>
          <w:tcPr>
            <w:tcW w:w="2689" w:type="dxa"/>
          </w:tcPr>
          <w:p w14:paraId="0047C9FB" w14:textId="77777777" w:rsidR="002107F9" w:rsidRDefault="002107F9" w:rsidP="002107F9">
            <w:pPr>
              <w:pStyle w:val="TableParagraph"/>
              <w:ind w:right="391"/>
              <w:rPr>
                <w:i/>
                <w:sz w:val="24"/>
              </w:rPr>
            </w:pPr>
            <w:r>
              <w:rPr>
                <w:i/>
                <w:color w:val="0D0D0D"/>
                <w:sz w:val="24"/>
              </w:rPr>
              <w:t>Attendance support – appointment of Attendance Officer</w:t>
            </w:r>
          </w:p>
        </w:tc>
        <w:tc>
          <w:tcPr>
            <w:tcW w:w="4256" w:type="dxa"/>
          </w:tcPr>
          <w:p w14:paraId="5D1C42DA" w14:textId="7D2083C7" w:rsidR="002107F9" w:rsidRDefault="002107F9" w:rsidP="002107F9">
            <w:pPr>
              <w:pStyle w:val="TableParagraph"/>
              <w:ind w:left="167" w:right="395"/>
              <w:rPr>
                <w:sz w:val="24"/>
              </w:rPr>
            </w:pPr>
            <w:r>
              <w:rPr>
                <w:color w:val="0D0D0D"/>
                <w:sz w:val="24"/>
              </w:rPr>
              <w:t xml:space="preserve">There is at present a </w:t>
            </w:r>
            <w:r w:rsidR="00D03111">
              <w:rPr>
                <w:color w:val="0D0D0D"/>
                <w:sz w:val="24"/>
              </w:rPr>
              <w:t>3</w:t>
            </w:r>
            <w:r>
              <w:rPr>
                <w:color w:val="0D0D0D"/>
                <w:sz w:val="24"/>
              </w:rPr>
              <w:t>% gap between the attendance of disadvantaged students and non-disadvantaged students.</w:t>
            </w:r>
          </w:p>
        </w:tc>
        <w:tc>
          <w:tcPr>
            <w:tcW w:w="2545" w:type="dxa"/>
          </w:tcPr>
          <w:p w14:paraId="203D8688" w14:textId="77777777" w:rsidR="002107F9" w:rsidRDefault="002107F9" w:rsidP="002107F9">
            <w:pPr>
              <w:pStyle w:val="TableParagraph"/>
              <w:ind w:left="165"/>
              <w:rPr>
                <w:sz w:val="24"/>
              </w:rPr>
            </w:pPr>
            <w:r>
              <w:rPr>
                <w:color w:val="0D0D0D"/>
                <w:sz w:val="24"/>
              </w:rPr>
              <w:t>4</w:t>
            </w:r>
          </w:p>
        </w:tc>
      </w:tr>
      <w:tr w:rsidR="002107F9" w14:paraId="2F8D3FB8" w14:textId="77777777" w:rsidTr="002107F9">
        <w:trPr>
          <w:trHeight w:val="705"/>
        </w:trPr>
        <w:tc>
          <w:tcPr>
            <w:tcW w:w="2689" w:type="dxa"/>
          </w:tcPr>
          <w:p w14:paraId="1747342E" w14:textId="77777777" w:rsidR="002107F9" w:rsidRDefault="002107F9" w:rsidP="002107F9">
            <w:pPr>
              <w:pStyle w:val="TableParagraph"/>
              <w:rPr>
                <w:i/>
                <w:sz w:val="24"/>
              </w:rPr>
            </w:pPr>
            <w:r>
              <w:rPr>
                <w:i/>
                <w:color w:val="0D0D0D"/>
                <w:sz w:val="24"/>
              </w:rPr>
              <w:t>Careers support</w:t>
            </w:r>
          </w:p>
        </w:tc>
        <w:tc>
          <w:tcPr>
            <w:tcW w:w="4256" w:type="dxa"/>
          </w:tcPr>
          <w:p w14:paraId="21A97E23" w14:textId="77777777" w:rsidR="002107F9" w:rsidRDefault="002107F9" w:rsidP="002107F9">
            <w:pPr>
              <w:pStyle w:val="TableParagraph"/>
              <w:ind w:left="167" w:right="315"/>
              <w:rPr>
                <w:sz w:val="24"/>
              </w:rPr>
            </w:pPr>
            <w:r>
              <w:rPr>
                <w:color w:val="0D0D0D"/>
                <w:sz w:val="24"/>
              </w:rPr>
              <w:t>Designated resources to develop road maps for students post 16 and post 18</w:t>
            </w:r>
          </w:p>
        </w:tc>
        <w:tc>
          <w:tcPr>
            <w:tcW w:w="2545" w:type="dxa"/>
          </w:tcPr>
          <w:p w14:paraId="7E58CBBE" w14:textId="77777777" w:rsidR="002107F9" w:rsidRDefault="002107F9" w:rsidP="002107F9">
            <w:pPr>
              <w:pStyle w:val="TableParagraph"/>
              <w:ind w:left="165"/>
              <w:rPr>
                <w:sz w:val="24"/>
              </w:rPr>
            </w:pPr>
            <w:r>
              <w:rPr>
                <w:color w:val="0D0D0D"/>
                <w:sz w:val="24"/>
              </w:rPr>
              <w:t>1, 2</w:t>
            </w:r>
          </w:p>
        </w:tc>
      </w:tr>
      <w:tr w:rsidR="002107F9" w14:paraId="729EFD26" w14:textId="77777777" w:rsidTr="002107F9">
        <w:trPr>
          <w:trHeight w:val="1293"/>
        </w:trPr>
        <w:tc>
          <w:tcPr>
            <w:tcW w:w="2689" w:type="dxa"/>
          </w:tcPr>
          <w:p w14:paraId="58D24DE2" w14:textId="77777777" w:rsidR="002107F9" w:rsidRDefault="002107F9" w:rsidP="002107F9">
            <w:pPr>
              <w:pStyle w:val="TableParagraph"/>
              <w:rPr>
                <w:i/>
                <w:sz w:val="24"/>
              </w:rPr>
            </w:pPr>
            <w:r>
              <w:rPr>
                <w:i/>
                <w:color w:val="0D0D0D"/>
                <w:sz w:val="24"/>
              </w:rPr>
              <w:t>Individualised support</w:t>
            </w:r>
          </w:p>
        </w:tc>
        <w:tc>
          <w:tcPr>
            <w:tcW w:w="4256" w:type="dxa"/>
          </w:tcPr>
          <w:p w14:paraId="1702C15A" w14:textId="7A697D3B" w:rsidR="002107F9" w:rsidRDefault="00BB51D3" w:rsidP="002107F9">
            <w:pPr>
              <w:pStyle w:val="TableParagraph"/>
              <w:ind w:left="167" w:right="176"/>
              <w:rPr>
                <w:sz w:val="24"/>
              </w:rPr>
            </w:pPr>
            <w:r>
              <w:rPr>
                <w:color w:val="0D0D0D"/>
                <w:sz w:val="24"/>
              </w:rPr>
              <w:t xml:space="preserve">Students </w:t>
            </w:r>
            <w:r w:rsidR="00324C24">
              <w:rPr>
                <w:color w:val="0D0D0D"/>
                <w:sz w:val="24"/>
              </w:rPr>
              <w:t>have access to</w:t>
            </w:r>
            <w:r>
              <w:rPr>
                <w:color w:val="0D0D0D"/>
                <w:sz w:val="24"/>
              </w:rPr>
              <w:t xml:space="preserve"> widespread pastoral support: Personal Tutor, Head of Year team, Nurture Room</w:t>
            </w:r>
            <w:r w:rsidR="00324C24">
              <w:rPr>
                <w:color w:val="0D0D0D"/>
                <w:sz w:val="24"/>
              </w:rPr>
              <w:t>, Careers</w:t>
            </w:r>
            <w:r w:rsidR="00974308">
              <w:rPr>
                <w:color w:val="0D0D0D"/>
                <w:sz w:val="24"/>
              </w:rPr>
              <w:t xml:space="preserve"> Department</w:t>
            </w:r>
            <w:r w:rsidR="007C401A">
              <w:rPr>
                <w:color w:val="0D0D0D"/>
                <w:sz w:val="24"/>
              </w:rPr>
              <w:t>, extensive Session Three programme</w:t>
            </w:r>
            <w:r w:rsidR="00647C75">
              <w:rPr>
                <w:color w:val="0D0D0D"/>
                <w:sz w:val="24"/>
              </w:rPr>
              <w:t>, Reading Mentors for Year 7s</w:t>
            </w:r>
          </w:p>
        </w:tc>
        <w:tc>
          <w:tcPr>
            <w:tcW w:w="2545" w:type="dxa"/>
          </w:tcPr>
          <w:p w14:paraId="5FC062E6" w14:textId="77777777" w:rsidR="002107F9" w:rsidRDefault="002107F9" w:rsidP="002107F9">
            <w:pPr>
              <w:pStyle w:val="TableParagraph"/>
              <w:ind w:left="165"/>
              <w:rPr>
                <w:sz w:val="24"/>
              </w:rPr>
            </w:pPr>
            <w:r>
              <w:rPr>
                <w:color w:val="0D0D0D"/>
                <w:sz w:val="24"/>
              </w:rPr>
              <w:t>1, 2, 3</w:t>
            </w:r>
          </w:p>
        </w:tc>
      </w:tr>
      <w:tr w:rsidR="002107F9" w14:paraId="4D15EB7F" w14:textId="77777777" w:rsidTr="002107F9">
        <w:trPr>
          <w:trHeight w:val="1290"/>
        </w:trPr>
        <w:tc>
          <w:tcPr>
            <w:tcW w:w="2689" w:type="dxa"/>
          </w:tcPr>
          <w:p w14:paraId="586294B6" w14:textId="345852C9" w:rsidR="002107F9" w:rsidRDefault="002107F9" w:rsidP="002107F9">
            <w:pPr>
              <w:pStyle w:val="TableParagraph"/>
              <w:rPr>
                <w:i/>
                <w:sz w:val="24"/>
              </w:rPr>
            </w:pPr>
            <w:r>
              <w:rPr>
                <w:i/>
                <w:color w:val="0D0D0D"/>
                <w:sz w:val="24"/>
              </w:rPr>
              <w:t>Spor</w:t>
            </w:r>
            <w:r w:rsidR="00435801">
              <w:rPr>
                <w:i/>
                <w:color w:val="0D0D0D"/>
                <w:sz w:val="24"/>
              </w:rPr>
              <w:t>t</w:t>
            </w:r>
            <w:r>
              <w:rPr>
                <w:i/>
                <w:color w:val="0D0D0D"/>
                <w:sz w:val="24"/>
              </w:rPr>
              <w:t xml:space="preserve"> transport</w:t>
            </w:r>
          </w:p>
        </w:tc>
        <w:tc>
          <w:tcPr>
            <w:tcW w:w="4256" w:type="dxa"/>
          </w:tcPr>
          <w:p w14:paraId="58EFF856" w14:textId="77777777" w:rsidR="002107F9" w:rsidRDefault="002107F9" w:rsidP="002107F9">
            <w:pPr>
              <w:pStyle w:val="TableParagraph"/>
              <w:ind w:left="167" w:right="279"/>
              <w:rPr>
                <w:sz w:val="24"/>
              </w:rPr>
            </w:pPr>
            <w:r>
              <w:rPr>
                <w:color w:val="0D0D0D"/>
                <w:sz w:val="24"/>
              </w:rPr>
              <w:t>Allows participation of all students in a range of sporting events, which underpins motivation for many students</w:t>
            </w:r>
          </w:p>
        </w:tc>
        <w:tc>
          <w:tcPr>
            <w:tcW w:w="2545" w:type="dxa"/>
          </w:tcPr>
          <w:p w14:paraId="0916DC81" w14:textId="77777777" w:rsidR="002107F9" w:rsidRDefault="002107F9" w:rsidP="002107F9">
            <w:pPr>
              <w:pStyle w:val="TableParagraph"/>
              <w:ind w:left="165"/>
              <w:rPr>
                <w:sz w:val="24"/>
              </w:rPr>
            </w:pPr>
            <w:r>
              <w:rPr>
                <w:color w:val="0D0D0D"/>
                <w:sz w:val="24"/>
              </w:rPr>
              <w:t>2, 4</w:t>
            </w:r>
          </w:p>
        </w:tc>
      </w:tr>
      <w:tr w:rsidR="002107F9" w14:paraId="34CC852F" w14:textId="77777777" w:rsidTr="009F19AD">
        <w:trPr>
          <w:trHeight w:val="1355"/>
        </w:trPr>
        <w:tc>
          <w:tcPr>
            <w:tcW w:w="2689" w:type="dxa"/>
          </w:tcPr>
          <w:p w14:paraId="5CF84E89" w14:textId="77777777" w:rsidR="002107F9" w:rsidRDefault="002107F9" w:rsidP="002107F9">
            <w:pPr>
              <w:pStyle w:val="TableParagraph"/>
              <w:rPr>
                <w:i/>
                <w:sz w:val="24"/>
              </w:rPr>
            </w:pPr>
            <w:r>
              <w:rPr>
                <w:i/>
                <w:color w:val="0D0D0D"/>
                <w:sz w:val="24"/>
              </w:rPr>
              <w:t>ICT provision</w:t>
            </w:r>
          </w:p>
        </w:tc>
        <w:tc>
          <w:tcPr>
            <w:tcW w:w="4256" w:type="dxa"/>
          </w:tcPr>
          <w:p w14:paraId="3CE9D116" w14:textId="1BF235A8" w:rsidR="002107F9" w:rsidRDefault="002107F9" w:rsidP="002107F9">
            <w:pPr>
              <w:pStyle w:val="TableParagraph"/>
              <w:ind w:left="167" w:right="645"/>
              <w:rPr>
                <w:sz w:val="24"/>
              </w:rPr>
            </w:pPr>
            <w:r>
              <w:rPr>
                <w:color w:val="0D0D0D"/>
                <w:sz w:val="24"/>
              </w:rPr>
              <w:t xml:space="preserve">All students benefit from extensive investment in ICT </w:t>
            </w:r>
            <w:proofErr w:type="gramStart"/>
            <w:r>
              <w:rPr>
                <w:color w:val="0D0D0D"/>
                <w:sz w:val="24"/>
              </w:rPr>
              <w:t>infrastructure</w:t>
            </w:r>
            <w:r w:rsidR="00E05357">
              <w:rPr>
                <w:color w:val="0D0D0D"/>
                <w:sz w:val="24"/>
              </w:rPr>
              <w:t>, and</w:t>
            </w:r>
            <w:proofErr w:type="gramEnd"/>
            <w:r w:rsidR="00E05357">
              <w:rPr>
                <w:color w:val="0D0D0D"/>
                <w:sz w:val="24"/>
              </w:rPr>
              <w:t xml:space="preserve"> ha</w:t>
            </w:r>
            <w:r w:rsidR="00E05357" w:rsidRPr="00DD1224">
              <w:rPr>
                <w:sz w:val="24"/>
              </w:rPr>
              <w:t>ve access to laptop provision when required</w:t>
            </w:r>
            <w:r w:rsidR="009F19AD" w:rsidRPr="00DD1224">
              <w:rPr>
                <w:sz w:val="24"/>
              </w:rPr>
              <w:t xml:space="preserve">. Children In </w:t>
            </w:r>
            <w:r w:rsidR="002B34F6" w:rsidRPr="00DD1224">
              <w:rPr>
                <w:sz w:val="24"/>
              </w:rPr>
              <w:t>C</w:t>
            </w:r>
            <w:r w:rsidR="009F19AD" w:rsidRPr="00DD1224">
              <w:rPr>
                <w:sz w:val="24"/>
              </w:rPr>
              <w:t>are</w:t>
            </w:r>
            <w:r w:rsidR="00142DA4" w:rsidRPr="00DD1224">
              <w:rPr>
                <w:sz w:val="24"/>
              </w:rPr>
              <w:t xml:space="preserve"> have a </w:t>
            </w:r>
            <w:proofErr w:type="gramStart"/>
            <w:r w:rsidR="00142DA4" w:rsidRPr="00DD1224">
              <w:rPr>
                <w:sz w:val="24"/>
              </w:rPr>
              <w:t>lap top</w:t>
            </w:r>
            <w:proofErr w:type="gramEnd"/>
            <w:r w:rsidR="00142DA4" w:rsidRPr="00DD1224">
              <w:rPr>
                <w:sz w:val="24"/>
              </w:rPr>
              <w:t xml:space="preserve"> provided for them using virtual school funding</w:t>
            </w:r>
            <w:r w:rsidR="000B2B48" w:rsidRPr="00DD1224">
              <w:rPr>
                <w:sz w:val="24"/>
              </w:rPr>
              <w:t>.</w:t>
            </w:r>
          </w:p>
        </w:tc>
        <w:tc>
          <w:tcPr>
            <w:tcW w:w="2545" w:type="dxa"/>
          </w:tcPr>
          <w:p w14:paraId="7107015F" w14:textId="77777777" w:rsidR="002107F9" w:rsidRDefault="002107F9" w:rsidP="002107F9">
            <w:pPr>
              <w:pStyle w:val="TableParagraph"/>
              <w:ind w:left="165"/>
              <w:rPr>
                <w:sz w:val="24"/>
              </w:rPr>
            </w:pPr>
            <w:r>
              <w:rPr>
                <w:color w:val="0D0D0D"/>
                <w:sz w:val="24"/>
              </w:rPr>
              <w:t>1, 3</w:t>
            </w:r>
          </w:p>
        </w:tc>
      </w:tr>
      <w:tr w:rsidR="002107F9" w14:paraId="32BC3B33" w14:textId="77777777" w:rsidTr="002107F9">
        <w:trPr>
          <w:trHeight w:val="1000"/>
        </w:trPr>
        <w:tc>
          <w:tcPr>
            <w:tcW w:w="2689" w:type="dxa"/>
          </w:tcPr>
          <w:p w14:paraId="251E36AA" w14:textId="257EA9E8" w:rsidR="002107F9" w:rsidRDefault="002107F9" w:rsidP="002107F9">
            <w:pPr>
              <w:pStyle w:val="TableParagraph"/>
              <w:spacing w:before="61"/>
              <w:rPr>
                <w:i/>
                <w:sz w:val="24"/>
              </w:rPr>
            </w:pPr>
            <w:r>
              <w:rPr>
                <w:i/>
                <w:color w:val="0D0D0D"/>
                <w:sz w:val="24"/>
              </w:rPr>
              <w:t>Reading book provision</w:t>
            </w:r>
            <w:r w:rsidR="00647C75">
              <w:rPr>
                <w:i/>
                <w:color w:val="0D0D0D"/>
                <w:sz w:val="24"/>
              </w:rPr>
              <w:t>/library</w:t>
            </w:r>
          </w:p>
        </w:tc>
        <w:tc>
          <w:tcPr>
            <w:tcW w:w="4256" w:type="dxa"/>
          </w:tcPr>
          <w:p w14:paraId="1323E264" w14:textId="772CA8A3" w:rsidR="002107F9" w:rsidRDefault="002107F9" w:rsidP="002107F9">
            <w:pPr>
              <w:pStyle w:val="TableParagraph"/>
              <w:spacing w:before="61"/>
              <w:ind w:left="167" w:right="684"/>
              <w:rPr>
                <w:sz w:val="24"/>
              </w:rPr>
            </w:pPr>
            <w:r>
              <w:rPr>
                <w:color w:val="0D0D0D"/>
                <w:sz w:val="24"/>
              </w:rPr>
              <w:t xml:space="preserve">Profiling reading leads to the development of literacy across the </w:t>
            </w:r>
            <w:r w:rsidRPr="00DD1224">
              <w:rPr>
                <w:sz w:val="24"/>
              </w:rPr>
              <w:t>curriculum</w:t>
            </w:r>
            <w:r w:rsidR="000B2B48" w:rsidRPr="00DD1224">
              <w:rPr>
                <w:sz w:val="24"/>
              </w:rPr>
              <w:t>. Whole school reading focus in the morning enables</w:t>
            </w:r>
            <w:r w:rsidR="006B2A7D" w:rsidRPr="00DD1224">
              <w:rPr>
                <w:sz w:val="24"/>
              </w:rPr>
              <w:t xml:space="preserve"> designated reading opportunity each day. Peer reading scheme in the library twice weekly supports reading miles </w:t>
            </w:r>
            <w:r w:rsidR="0031714D" w:rsidRPr="00DD1224">
              <w:rPr>
                <w:sz w:val="24"/>
              </w:rPr>
              <w:t>and increased reading fluency for pupils who</w:t>
            </w:r>
            <w:r w:rsidR="005F01C6" w:rsidRPr="00DD1224">
              <w:rPr>
                <w:sz w:val="24"/>
              </w:rPr>
              <w:t xml:space="preserve"> have a lower than chronological reading age.</w:t>
            </w:r>
          </w:p>
        </w:tc>
        <w:tc>
          <w:tcPr>
            <w:tcW w:w="2545" w:type="dxa"/>
          </w:tcPr>
          <w:p w14:paraId="62B0C681" w14:textId="77777777" w:rsidR="002107F9" w:rsidRDefault="002107F9" w:rsidP="002107F9">
            <w:pPr>
              <w:pStyle w:val="TableParagraph"/>
              <w:spacing w:before="61"/>
              <w:ind w:left="165"/>
              <w:rPr>
                <w:sz w:val="24"/>
              </w:rPr>
            </w:pPr>
            <w:r>
              <w:rPr>
                <w:color w:val="0D0D0D"/>
                <w:sz w:val="24"/>
              </w:rPr>
              <w:t>1, 3</w:t>
            </w:r>
          </w:p>
        </w:tc>
      </w:tr>
      <w:tr w:rsidR="00BE30AB" w14:paraId="47053A73" w14:textId="77777777" w:rsidTr="002107F9">
        <w:trPr>
          <w:trHeight w:val="1000"/>
        </w:trPr>
        <w:tc>
          <w:tcPr>
            <w:tcW w:w="2689" w:type="dxa"/>
          </w:tcPr>
          <w:p w14:paraId="0F61ED3B" w14:textId="235707DF" w:rsidR="00BE30AB" w:rsidRDefault="00BE30AB" w:rsidP="00BE30AB">
            <w:pPr>
              <w:pStyle w:val="TableParagraph"/>
              <w:spacing w:before="61"/>
              <w:rPr>
                <w:i/>
                <w:color w:val="0D0D0D"/>
                <w:sz w:val="24"/>
              </w:rPr>
            </w:pPr>
            <w:r>
              <w:rPr>
                <w:i/>
                <w:color w:val="0D0D0D"/>
                <w:sz w:val="24"/>
              </w:rPr>
              <w:t>Extensive provision of extra-curricular performing arts</w:t>
            </w:r>
          </w:p>
        </w:tc>
        <w:tc>
          <w:tcPr>
            <w:tcW w:w="4256" w:type="dxa"/>
          </w:tcPr>
          <w:p w14:paraId="3AD6B54B" w14:textId="2416833F" w:rsidR="00BE30AB" w:rsidRDefault="00BE30AB" w:rsidP="00BE30AB">
            <w:pPr>
              <w:pStyle w:val="TableParagraph"/>
              <w:spacing w:before="61"/>
              <w:ind w:left="167" w:right="684"/>
              <w:rPr>
                <w:color w:val="0D0D0D"/>
                <w:sz w:val="24"/>
              </w:rPr>
            </w:pPr>
            <w:r>
              <w:rPr>
                <w:color w:val="0D0D0D"/>
                <w:sz w:val="24"/>
              </w:rPr>
              <w:t>EEF Toolkit + 3 months</w:t>
            </w:r>
          </w:p>
        </w:tc>
        <w:tc>
          <w:tcPr>
            <w:tcW w:w="2545" w:type="dxa"/>
          </w:tcPr>
          <w:p w14:paraId="59F5D550" w14:textId="0EB5D01F" w:rsidR="00BE30AB" w:rsidRDefault="00BE30AB" w:rsidP="00BE30AB">
            <w:pPr>
              <w:pStyle w:val="TableParagraph"/>
              <w:spacing w:before="61"/>
              <w:ind w:left="165"/>
              <w:rPr>
                <w:color w:val="0D0D0D"/>
                <w:sz w:val="24"/>
              </w:rPr>
            </w:pPr>
            <w:r>
              <w:rPr>
                <w:color w:val="0D0D0D"/>
                <w:sz w:val="24"/>
              </w:rPr>
              <w:t>1, 2, 4</w:t>
            </w:r>
          </w:p>
        </w:tc>
      </w:tr>
    </w:tbl>
    <w:p w14:paraId="3C138DA5" w14:textId="77777777" w:rsidR="002107F9" w:rsidRPr="002107F9" w:rsidRDefault="002107F9" w:rsidP="002107F9">
      <w:pPr>
        <w:rPr>
          <w:sz w:val="24"/>
        </w:rPr>
      </w:pPr>
    </w:p>
    <w:p w14:paraId="1A9ECEEA" w14:textId="77777777" w:rsidR="00BE30AB" w:rsidRPr="00E3212D" w:rsidRDefault="00BE30AB" w:rsidP="00BE30AB">
      <w:pPr>
        <w:spacing w:before="51"/>
        <w:ind w:left="112"/>
        <w:rPr>
          <w:b/>
          <w:sz w:val="24"/>
        </w:rPr>
        <w:sectPr w:rsidR="00BE30AB" w:rsidRPr="00E3212D" w:rsidSect="00BE7C4D">
          <w:pgSz w:w="11910" w:h="16840"/>
          <w:pgMar w:top="1120" w:right="1160" w:bottom="960" w:left="1020" w:header="0" w:footer="696" w:gutter="0"/>
          <w:cols w:space="720"/>
        </w:sectPr>
      </w:pPr>
      <w:r>
        <w:rPr>
          <w:b/>
          <w:color w:val="0F4F75"/>
          <w:sz w:val="24"/>
        </w:rPr>
        <w:t>Total budgeted cost: £152,000</w:t>
      </w:r>
    </w:p>
    <w:p w14:paraId="6F4E34C2" w14:textId="332DC2CA" w:rsidR="00FF6C4B" w:rsidRDefault="0067012B">
      <w:pPr>
        <w:spacing w:before="34"/>
        <w:ind w:left="112"/>
        <w:rPr>
          <w:b/>
          <w:sz w:val="24"/>
        </w:rPr>
      </w:pPr>
      <w:bookmarkStart w:id="0" w:name="_Hlk159576022"/>
      <w:r>
        <w:rPr>
          <w:b/>
          <w:color w:val="0F4F75"/>
          <w:sz w:val="24"/>
        </w:rPr>
        <w:lastRenderedPageBreak/>
        <w:t>Part B: Review of outcomes in the previous academic year</w:t>
      </w:r>
      <w:r w:rsidR="00075B3A">
        <w:rPr>
          <w:b/>
          <w:color w:val="0F4F75"/>
          <w:sz w:val="24"/>
        </w:rPr>
        <w:t>: 202</w:t>
      </w:r>
      <w:r w:rsidR="004B18EA">
        <w:rPr>
          <w:b/>
          <w:color w:val="0F4F75"/>
          <w:sz w:val="24"/>
        </w:rPr>
        <w:t>2</w:t>
      </w:r>
      <w:r w:rsidR="00075B3A">
        <w:rPr>
          <w:b/>
          <w:color w:val="0F4F75"/>
          <w:sz w:val="24"/>
        </w:rPr>
        <w:t>-202</w:t>
      </w:r>
      <w:r w:rsidR="004B18EA">
        <w:rPr>
          <w:b/>
          <w:color w:val="0F4F75"/>
          <w:sz w:val="24"/>
        </w:rPr>
        <w:t>3</w:t>
      </w:r>
    </w:p>
    <w:p w14:paraId="264AD689" w14:textId="77777777" w:rsidR="00FF6C4B" w:rsidRDefault="00FF6C4B">
      <w:pPr>
        <w:rPr>
          <w:b/>
          <w:sz w:val="24"/>
        </w:rPr>
      </w:pPr>
    </w:p>
    <w:p w14:paraId="20151A84" w14:textId="77777777" w:rsidR="00FF6C4B" w:rsidRDefault="0067012B">
      <w:pPr>
        <w:spacing w:before="189"/>
        <w:ind w:left="112"/>
        <w:rPr>
          <w:b/>
          <w:sz w:val="24"/>
        </w:rPr>
      </w:pPr>
      <w:r>
        <w:rPr>
          <w:b/>
          <w:color w:val="0F4F75"/>
          <w:sz w:val="24"/>
        </w:rPr>
        <w:t>Pupil premium strategy outcomes</w:t>
      </w:r>
    </w:p>
    <w:p w14:paraId="64A6FE23" w14:textId="77777777" w:rsidR="00FF6C4B" w:rsidRDefault="00FF6C4B">
      <w:pPr>
        <w:spacing w:before="8"/>
        <w:rPr>
          <w:b/>
          <w:sz w:val="19"/>
        </w:rPr>
      </w:pPr>
    </w:p>
    <w:p w14:paraId="445AAF36" w14:textId="4ABF27CC" w:rsidR="00E3212D" w:rsidRDefault="0067012B" w:rsidP="0066620C">
      <w:pPr>
        <w:spacing w:line="288" w:lineRule="auto"/>
        <w:ind w:left="112" w:right="983"/>
        <w:rPr>
          <w:sz w:val="24"/>
        </w:rPr>
      </w:pPr>
      <w:r>
        <w:rPr>
          <w:color w:val="0D0D0D"/>
          <w:sz w:val="24"/>
        </w:rPr>
        <w:t>This details the impact that our pupil premium activity had on pupils in the 202</w:t>
      </w:r>
      <w:r w:rsidR="004B18EA">
        <w:rPr>
          <w:color w:val="0D0D0D"/>
          <w:sz w:val="24"/>
        </w:rPr>
        <w:t>2</w:t>
      </w:r>
      <w:r>
        <w:rPr>
          <w:color w:val="0D0D0D"/>
          <w:sz w:val="24"/>
        </w:rPr>
        <w:t xml:space="preserve"> to 202</w:t>
      </w:r>
      <w:r w:rsidR="004B18EA">
        <w:rPr>
          <w:color w:val="0D0D0D"/>
          <w:sz w:val="24"/>
        </w:rPr>
        <w:t>3</w:t>
      </w:r>
      <w:r w:rsidR="00075B3A">
        <w:rPr>
          <w:color w:val="0D0D0D"/>
          <w:sz w:val="24"/>
        </w:rPr>
        <w:t xml:space="preserve"> </w:t>
      </w:r>
      <w:r>
        <w:rPr>
          <w:color w:val="0D0D0D"/>
          <w:sz w:val="24"/>
        </w:rPr>
        <w:t>academic year.</w:t>
      </w:r>
    </w:p>
    <w:p w14:paraId="3F2AF40D" w14:textId="6DE17BA6" w:rsidR="00E3212D" w:rsidRDefault="00E3212D">
      <w:pPr>
        <w:spacing w:before="4" w:after="1"/>
        <w:rPr>
          <w:sz w:val="24"/>
        </w:rPr>
      </w:pPr>
    </w:p>
    <w:p w14:paraId="7E5182D7" w14:textId="77777777" w:rsidR="00E3212D" w:rsidRDefault="00E3212D">
      <w:pPr>
        <w:spacing w:before="4" w:after="1"/>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4"/>
        <w:gridCol w:w="3161"/>
        <w:gridCol w:w="3164"/>
      </w:tblGrid>
      <w:tr w:rsidR="00FF6C4B" w14:paraId="21B8BBFD" w14:textId="77777777">
        <w:trPr>
          <w:trHeight w:val="590"/>
        </w:trPr>
        <w:tc>
          <w:tcPr>
            <w:tcW w:w="3164" w:type="dxa"/>
          </w:tcPr>
          <w:p w14:paraId="021DB3ED" w14:textId="77777777" w:rsidR="00FF6C4B" w:rsidRDefault="0067012B">
            <w:pPr>
              <w:pStyle w:val="TableParagraph"/>
              <w:spacing w:before="0" w:line="292" w:lineRule="exact"/>
              <w:ind w:left="684"/>
              <w:rPr>
                <w:b/>
                <w:sz w:val="24"/>
              </w:rPr>
            </w:pPr>
            <w:r>
              <w:rPr>
                <w:b/>
                <w:color w:val="0D0D0D"/>
                <w:sz w:val="24"/>
              </w:rPr>
              <w:t>Desired outcomes</w:t>
            </w:r>
          </w:p>
        </w:tc>
        <w:tc>
          <w:tcPr>
            <w:tcW w:w="3161" w:type="dxa"/>
          </w:tcPr>
          <w:p w14:paraId="488C4445" w14:textId="77777777" w:rsidR="00FF6C4B" w:rsidRDefault="0067012B">
            <w:pPr>
              <w:pStyle w:val="TableParagraph"/>
              <w:spacing w:before="0" w:line="292" w:lineRule="exact"/>
              <w:ind w:left="820"/>
              <w:rPr>
                <w:b/>
                <w:sz w:val="24"/>
              </w:rPr>
            </w:pPr>
            <w:r>
              <w:rPr>
                <w:b/>
                <w:color w:val="0D0D0D"/>
                <w:sz w:val="24"/>
              </w:rPr>
              <w:t>Success criteria</w:t>
            </w:r>
          </w:p>
        </w:tc>
        <w:tc>
          <w:tcPr>
            <w:tcW w:w="3164" w:type="dxa"/>
          </w:tcPr>
          <w:p w14:paraId="4823D53F" w14:textId="77777777" w:rsidR="00FF6C4B" w:rsidRDefault="0067012B">
            <w:pPr>
              <w:pStyle w:val="TableParagraph"/>
              <w:spacing w:before="0" w:line="292" w:lineRule="exact"/>
              <w:ind w:left="1217" w:right="1205"/>
              <w:jc w:val="center"/>
              <w:rPr>
                <w:b/>
                <w:sz w:val="24"/>
              </w:rPr>
            </w:pPr>
            <w:r>
              <w:rPr>
                <w:b/>
                <w:color w:val="0D0D0D"/>
                <w:sz w:val="24"/>
              </w:rPr>
              <w:t>Impact</w:t>
            </w:r>
          </w:p>
        </w:tc>
      </w:tr>
      <w:tr w:rsidR="007B5D0C" w14:paraId="469BCEED" w14:textId="77777777">
        <w:trPr>
          <w:trHeight w:val="1888"/>
        </w:trPr>
        <w:tc>
          <w:tcPr>
            <w:tcW w:w="3164" w:type="dxa"/>
          </w:tcPr>
          <w:p w14:paraId="4710942E" w14:textId="43A8CBBF" w:rsidR="007B5D0C" w:rsidRDefault="007B5D0C" w:rsidP="007B5D0C">
            <w:pPr>
              <w:pStyle w:val="TableParagraph"/>
              <w:spacing w:before="1" w:line="288" w:lineRule="auto"/>
              <w:ind w:left="110" w:right="634"/>
              <w:rPr>
                <w:sz w:val="24"/>
              </w:rPr>
            </w:pPr>
            <w:r>
              <w:rPr>
                <w:color w:val="0D0D0D"/>
                <w:sz w:val="24"/>
              </w:rPr>
              <w:t>To ensure that the Progress 8 and attainment outcomes for disadvantaged students compare favourably with non-disadvantaged students, narrowing the gap between the cohorts of students</w:t>
            </w:r>
          </w:p>
        </w:tc>
        <w:tc>
          <w:tcPr>
            <w:tcW w:w="3161" w:type="dxa"/>
          </w:tcPr>
          <w:p w14:paraId="6211762F" w14:textId="70B3AF49" w:rsidR="007B5D0C" w:rsidRDefault="007B5D0C" w:rsidP="007B5D0C">
            <w:pPr>
              <w:pStyle w:val="TableParagraph"/>
              <w:spacing w:before="1" w:line="288" w:lineRule="auto"/>
              <w:ind w:left="108" w:right="191"/>
              <w:rPr>
                <w:sz w:val="24"/>
              </w:rPr>
            </w:pPr>
            <w:r w:rsidRPr="00DD1224">
              <w:rPr>
                <w:sz w:val="24"/>
              </w:rPr>
              <w:t>How did these compare nationally?</w:t>
            </w:r>
            <w:r w:rsidR="00EE1F5F" w:rsidRPr="00DD1224">
              <w:rPr>
                <w:sz w:val="24"/>
              </w:rPr>
              <w:t xml:space="preserve"> To narrow any gap and </w:t>
            </w:r>
            <w:r w:rsidR="00B83522" w:rsidRPr="00DD1224">
              <w:rPr>
                <w:sz w:val="24"/>
              </w:rPr>
              <w:t>support TTS learners to achieve at a higher level than the national statistics in this area.</w:t>
            </w:r>
          </w:p>
        </w:tc>
        <w:tc>
          <w:tcPr>
            <w:tcW w:w="3164" w:type="dxa"/>
          </w:tcPr>
          <w:p w14:paraId="6A95F67A" w14:textId="77777777" w:rsidR="007B5D0C" w:rsidRPr="00A21FCD" w:rsidRDefault="007B5D0C" w:rsidP="007B5D0C">
            <w:pPr>
              <w:pStyle w:val="TableParagraph"/>
              <w:spacing w:before="0" w:line="288" w:lineRule="auto"/>
              <w:ind w:left="110" w:right="639"/>
              <w:rPr>
                <w:sz w:val="24"/>
              </w:rPr>
            </w:pPr>
            <w:r w:rsidRPr="00A21FCD">
              <w:rPr>
                <w:sz w:val="24"/>
              </w:rPr>
              <w:t>Progress 8 score for disadvantaged students:</w:t>
            </w:r>
          </w:p>
          <w:p w14:paraId="161D9D3C" w14:textId="76FDDDDE" w:rsidR="007B5D0C" w:rsidRPr="00B5452F" w:rsidRDefault="008F6B6C" w:rsidP="007B5D0C">
            <w:pPr>
              <w:pStyle w:val="TableParagraph"/>
              <w:spacing w:before="0"/>
              <w:ind w:left="110"/>
              <w:rPr>
                <w:sz w:val="24"/>
              </w:rPr>
            </w:pPr>
            <w:r w:rsidRPr="00B5452F">
              <w:rPr>
                <w:sz w:val="24"/>
              </w:rPr>
              <w:t>-0.08</w:t>
            </w:r>
          </w:p>
          <w:p w14:paraId="72C88166" w14:textId="11191780" w:rsidR="00132FCF" w:rsidRPr="00A21FCD" w:rsidRDefault="00132FCF" w:rsidP="007B5D0C">
            <w:pPr>
              <w:pStyle w:val="TableParagraph"/>
              <w:spacing w:before="0"/>
              <w:ind w:left="110"/>
              <w:rPr>
                <w:sz w:val="24"/>
              </w:rPr>
            </w:pPr>
          </w:p>
          <w:p w14:paraId="0AA73D47" w14:textId="7EA71331" w:rsidR="00132FCF" w:rsidRPr="00A21FCD" w:rsidRDefault="00012305" w:rsidP="007B5D0C">
            <w:pPr>
              <w:pStyle w:val="TableParagraph"/>
              <w:spacing w:before="0"/>
              <w:ind w:left="110"/>
              <w:rPr>
                <w:sz w:val="24"/>
              </w:rPr>
            </w:pPr>
            <w:r w:rsidRPr="00A21FCD">
              <w:rPr>
                <w:sz w:val="24"/>
              </w:rPr>
              <w:t>School</w:t>
            </w:r>
            <w:r w:rsidR="00132FCF" w:rsidRPr="00A21FCD">
              <w:rPr>
                <w:sz w:val="24"/>
              </w:rPr>
              <w:t xml:space="preserve"> Progress 8 score:</w:t>
            </w:r>
          </w:p>
          <w:p w14:paraId="342A8AAE" w14:textId="3B5389CC" w:rsidR="00132FCF" w:rsidRPr="00B5452F" w:rsidRDefault="00132FCF" w:rsidP="007B5D0C">
            <w:pPr>
              <w:pStyle w:val="TableParagraph"/>
              <w:spacing w:before="0"/>
              <w:ind w:left="110"/>
              <w:rPr>
                <w:sz w:val="24"/>
              </w:rPr>
            </w:pPr>
            <w:r w:rsidRPr="00B5452F">
              <w:rPr>
                <w:sz w:val="24"/>
              </w:rPr>
              <w:t>+0.</w:t>
            </w:r>
            <w:r w:rsidR="00661C50" w:rsidRPr="00B5452F">
              <w:rPr>
                <w:sz w:val="24"/>
              </w:rPr>
              <w:t>5</w:t>
            </w:r>
            <w:r w:rsidR="008F6B6C" w:rsidRPr="00B5452F">
              <w:rPr>
                <w:sz w:val="24"/>
              </w:rPr>
              <w:t>6</w:t>
            </w:r>
          </w:p>
          <w:p w14:paraId="5E555313" w14:textId="77777777" w:rsidR="007B5D0C" w:rsidRPr="00A21FCD" w:rsidRDefault="007B5D0C" w:rsidP="007B5D0C">
            <w:pPr>
              <w:pStyle w:val="TableParagraph"/>
              <w:spacing w:before="8"/>
              <w:ind w:left="0"/>
              <w:rPr>
                <w:sz w:val="19"/>
              </w:rPr>
            </w:pPr>
          </w:p>
          <w:p w14:paraId="40A51EA9" w14:textId="77777777" w:rsidR="007B5D0C" w:rsidRPr="00A21FCD" w:rsidRDefault="007B5D0C" w:rsidP="007B5D0C">
            <w:pPr>
              <w:pStyle w:val="TableParagraph"/>
              <w:spacing w:before="9"/>
              <w:ind w:left="0"/>
              <w:rPr>
                <w:sz w:val="19"/>
              </w:rPr>
            </w:pPr>
          </w:p>
          <w:p w14:paraId="048A3EE7" w14:textId="01AC435A" w:rsidR="007B5D0C" w:rsidRPr="00A21FCD" w:rsidRDefault="007B5D0C" w:rsidP="007B5D0C">
            <w:pPr>
              <w:pStyle w:val="TableParagraph"/>
              <w:spacing w:before="1" w:line="288" w:lineRule="auto"/>
              <w:ind w:left="110" w:right="478"/>
              <w:rPr>
                <w:sz w:val="24"/>
              </w:rPr>
            </w:pPr>
          </w:p>
        </w:tc>
      </w:tr>
      <w:tr w:rsidR="007B5D0C" w14:paraId="06C70992" w14:textId="77777777">
        <w:trPr>
          <w:trHeight w:val="1888"/>
        </w:trPr>
        <w:tc>
          <w:tcPr>
            <w:tcW w:w="3164" w:type="dxa"/>
          </w:tcPr>
          <w:p w14:paraId="3DA7CE67" w14:textId="3CF8177C" w:rsidR="007B5D0C" w:rsidRDefault="007B5D0C" w:rsidP="007B5D0C">
            <w:pPr>
              <w:pStyle w:val="TableParagraph"/>
              <w:spacing w:before="1" w:line="288" w:lineRule="auto"/>
              <w:ind w:left="110" w:right="634"/>
              <w:rPr>
                <w:color w:val="0D0D0D"/>
                <w:sz w:val="24"/>
              </w:rPr>
            </w:pPr>
            <w:r>
              <w:rPr>
                <w:color w:val="0D0D0D"/>
                <w:sz w:val="24"/>
              </w:rPr>
              <w:t>To secure portable GCSE qualifications for disadvantaged students</w:t>
            </w:r>
          </w:p>
        </w:tc>
        <w:tc>
          <w:tcPr>
            <w:tcW w:w="3161" w:type="dxa"/>
          </w:tcPr>
          <w:p w14:paraId="69A619DC" w14:textId="380CD7CF" w:rsidR="007B5D0C" w:rsidRDefault="007B5D0C" w:rsidP="007B5D0C">
            <w:pPr>
              <w:pStyle w:val="TableParagraph"/>
              <w:spacing w:before="1" w:line="288" w:lineRule="auto"/>
              <w:ind w:left="108" w:right="191"/>
              <w:rPr>
                <w:color w:val="0D0D0D"/>
                <w:sz w:val="24"/>
              </w:rPr>
            </w:pPr>
            <w:r>
              <w:rPr>
                <w:color w:val="0D0D0D"/>
                <w:sz w:val="24"/>
              </w:rPr>
              <w:t>Did students achieve benchmark numerical grades 4 (pass) and 5 (good pass) in English and mathematics?</w:t>
            </w:r>
            <w:r w:rsidR="00CB40B3">
              <w:rPr>
                <w:color w:val="0D0D0D"/>
                <w:sz w:val="24"/>
              </w:rPr>
              <w:t xml:space="preserve"> Are students progressing well in Maths and English?</w:t>
            </w:r>
          </w:p>
        </w:tc>
        <w:tc>
          <w:tcPr>
            <w:tcW w:w="3164" w:type="dxa"/>
          </w:tcPr>
          <w:p w14:paraId="4ACBB6AA" w14:textId="4560A150" w:rsidR="007B5D0C" w:rsidRPr="00A21FCD" w:rsidRDefault="007B5D0C" w:rsidP="007B5D0C">
            <w:pPr>
              <w:pStyle w:val="TableParagraph"/>
              <w:spacing w:before="1" w:line="288" w:lineRule="auto"/>
              <w:ind w:left="110" w:right="347"/>
              <w:rPr>
                <w:sz w:val="24"/>
              </w:rPr>
            </w:pPr>
            <w:r w:rsidRPr="00660553">
              <w:rPr>
                <w:sz w:val="24"/>
              </w:rPr>
              <w:t>9</w:t>
            </w:r>
            <w:r w:rsidR="00661C50" w:rsidRPr="00660553">
              <w:rPr>
                <w:sz w:val="24"/>
              </w:rPr>
              <w:t>7</w:t>
            </w:r>
            <w:r w:rsidRPr="00660553">
              <w:rPr>
                <w:sz w:val="24"/>
              </w:rPr>
              <w:t xml:space="preserve">% </w:t>
            </w:r>
            <w:r w:rsidRPr="00A21FCD">
              <w:rPr>
                <w:sz w:val="24"/>
              </w:rPr>
              <w:t xml:space="preserve">achieved 4+ in </w:t>
            </w:r>
            <w:r w:rsidR="00C80022">
              <w:rPr>
                <w:spacing w:val="-4"/>
                <w:sz w:val="24"/>
              </w:rPr>
              <w:t xml:space="preserve">English </w:t>
            </w:r>
            <w:r w:rsidRPr="00A21FCD">
              <w:rPr>
                <w:sz w:val="24"/>
              </w:rPr>
              <w:t>and</w:t>
            </w:r>
            <w:r w:rsidRPr="00A21FCD">
              <w:rPr>
                <w:spacing w:val="-1"/>
                <w:sz w:val="24"/>
              </w:rPr>
              <w:t xml:space="preserve"> </w:t>
            </w:r>
            <w:r w:rsidR="00A50A41">
              <w:rPr>
                <w:spacing w:val="-1"/>
                <w:sz w:val="24"/>
              </w:rPr>
              <w:t>94%</w:t>
            </w:r>
            <w:r w:rsidR="00D03111">
              <w:rPr>
                <w:spacing w:val="-1"/>
                <w:sz w:val="24"/>
              </w:rPr>
              <w:t xml:space="preserve"> </w:t>
            </w:r>
            <w:r w:rsidR="00C80022">
              <w:rPr>
                <w:sz w:val="24"/>
              </w:rPr>
              <w:t>in Maths</w:t>
            </w:r>
          </w:p>
          <w:p w14:paraId="042B61DE" w14:textId="77777777" w:rsidR="007B5D0C" w:rsidRPr="00A21FCD" w:rsidRDefault="007B5D0C" w:rsidP="007B5D0C">
            <w:pPr>
              <w:pStyle w:val="TableParagraph"/>
              <w:spacing w:before="8"/>
              <w:ind w:left="0"/>
              <w:rPr>
                <w:sz w:val="19"/>
              </w:rPr>
            </w:pPr>
          </w:p>
          <w:p w14:paraId="0F56276A" w14:textId="02876846" w:rsidR="007B5D0C" w:rsidRPr="00A21FCD" w:rsidRDefault="00661C50" w:rsidP="007B5D0C">
            <w:pPr>
              <w:pStyle w:val="TableParagraph"/>
              <w:spacing w:before="1" w:line="288" w:lineRule="auto"/>
              <w:ind w:left="110" w:right="478"/>
              <w:rPr>
                <w:sz w:val="24"/>
              </w:rPr>
            </w:pPr>
            <w:r w:rsidRPr="00660553">
              <w:rPr>
                <w:sz w:val="24"/>
              </w:rPr>
              <w:t>8</w:t>
            </w:r>
            <w:r w:rsidR="00660553" w:rsidRPr="00660553">
              <w:rPr>
                <w:sz w:val="24"/>
              </w:rPr>
              <w:t>8</w:t>
            </w:r>
            <w:r w:rsidR="007B5D0C" w:rsidRPr="00660553">
              <w:rPr>
                <w:sz w:val="24"/>
              </w:rPr>
              <w:t xml:space="preserve">% </w:t>
            </w:r>
            <w:r w:rsidR="007B5D0C" w:rsidRPr="00A21FCD">
              <w:rPr>
                <w:sz w:val="24"/>
              </w:rPr>
              <w:t xml:space="preserve">achieved 5+ in </w:t>
            </w:r>
            <w:r w:rsidR="00C80022">
              <w:rPr>
                <w:sz w:val="24"/>
              </w:rPr>
              <w:t>English</w:t>
            </w:r>
            <w:r w:rsidR="007B5D0C" w:rsidRPr="00A21FCD">
              <w:rPr>
                <w:sz w:val="24"/>
              </w:rPr>
              <w:t xml:space="preserve"> and</w:t>
            </w:r>
            <w:r w:rsidR="007B5D0C" w:rsidRPr="00A21FCD">
              <w:rPr>
                <w:spacing w:val="-1"/>
                <w:sz w:val="24"/>
              </w:rPr>
              <w:t xml:space="preserve"> </w:t>
            </w:r>
            <w:r w:rsidR="00A50A41">
              <w:rPr>
                <w:spacing w:val="-1"/>
                <w:sz w:val="24"/>
              </w:rPr>
              <w:t xml:space="preserve">77% </w:t>
            </w:r>
            <w:r w:rsidR="00C80022">
              <w:rPr>
                <w:sz w:val="24"/>
              </w:rPr>
              <w:t>in Maths</w:t>
            </w:r>
          </w:p>
          <w:p w14:paraId="4BB99A20" w14:textId="77777777" w:rsidR="006050DE" w:rsidRPr="00A21FCD" w:rsidRDefault="006050DE" w:rsidP="00661C50">
            <w:pPr>
              <w:pStyle w:val="TableParagraph"/>
              <w:spacing w:before="1" w:line="288" w:lineRule="auto"/>
              <w:ind w:left="0" w:right="347"/>
              <w:rPr>
                <w:sz w:val="24"/>
              </w:rPr>
            </w:pPr>
          </w:p>
          <w:p w14:paraId="243B01F6" w14:textId="0F1FFD22" w:rsidR="006050DE" w:rsidRPr="00A21FCD" w:rsidRDefault="006050DE" w:rsidP="008F6B6C">
            <w:pPr>
              <w:pStyle w:val="TableParagraph"/>
              <w:spacing w:before="1" w:line="288" w:lineRule="auto"/>
              <w:ind w:left="110" w:right="347"/>
              <w:rPr>
                <w:sz w:val="24"/>
              </w:rPr>
            </w:pPr>
          </w:p>
        </w:tc>
      </w:tr>
      <w:bookmarkEnd w:id="0"/>
      <w:tr w:rsidR="007B5D0C" w14:paraId="2038A0E0" w14:textId="77777777">
        <w:trPr>
          <w:trHeight w:val="1888"/>
        </w:trPr>
        <w:tc>
          <w:tcPr>
            <w:tcW w:w="3164" w:type="dxa"/>
          </w:tcPr>
          <w:p w14:paraId="166CC082" w14:textId="41F6A02B" w:rsidR="007B5D0C" w:rsidRDefault="007B5D0C" w:rsidP="007B5D0C">
            <w:pPr>
              <w:pStyle w:val="TableParagraph"/>
              <w:spacing w:before="1" w:line="288" w:lineRule="auto"/>
              <w:ind w:left="110" w:right="634"/>
              <w:rPr>
                <w:color w:val="0D0D0D"/>
                <w:sz w:val="24"/>
              </w:rPr>
            </w:pPr>
            <w:r>
              <w:rPr>
                <w:color w:val="0D0D0D"/>
                <w:sz w:val="24"/>
              </w:rPr>
              <w:t>To ensure the attendance of disadvantaged students compares positively with non-disadvantaged students, and to narrow the gap between the cohorts of students.</w:t>
            </w:r>
          </w:p>
        </w:tc>
        <w:tc>
          <w:tcPr>
            <w:tcW w:w="3161" w:type="dxa"/>
          </w:tcPr>
          <w:p w14:paraId="6521EA21" w14:textId="06CAF98E" w:rsidR="007B5D0C" w:rsidRDefault="007B5D0C" w:rsidP="007B5D0C">
            <w:pPr>
              <w:pStyle w:val="TableParagraph"/>
              <w:spacing w:before="1" w:line="288" w:lineRule="auto"/>
              <w:ind w:left="108" w:right="191"/>
              <w:rPr>
                <w:color w:val="0D0D0D"/>
                <w:sz w:val="24"/>
              </w:rPr>
            </w:pPr>
            <w:r>
              <w:rPr>
                <w:color w:val="0D0D0D"/>
                <w:sz w:val="24"/>
              </w:rPr>
              <w:t>How does attendance compare within Thomas Telford School?</w:t>
            </w:r>
          </w:p>
        </w:tc>
        <w:tc>
          <w:tcPr>
            <w:tcW w:w="3164" w:type="dxa"/>
          </w:tcPr>
          <w:p w14:paraId="33D4675F" w14:textId="61627995" w:rsidR="007B5D0C" w:rsidRPr="00A21FCD" w:rsidRDefault="007B5D0C" w:rsidP="007B5D0C">
            <w:pPr>
              <w:pStyle w:val="TableParagraph"/>
              <w:spacing w:before="0" w:line="288" w:lineRule="auto"/>
              <w:ind w:left="110" w:right="639"/>
              <w:rPr>
                <w:sz w:val="24"/>
              </w:rPr>
            </w:pPr>
            <w:r w:rsidRPr="00A21FCD">
              <w:rPr>
                <w:sz w:val="24"/>
              </w:rPr>
              <w:t>Attendance for disadvantaged students</w:t>
            </w:r>
            <w:r w:rsidR="00661C50" w:rsidRPr="00A21FCD">
              <w:rPr>
                <w:sz w:val="24"/>
              </w:rPr>
              <w:t xml:space="preserve"> 202</w:t>
            </w:r>
            <w:r w:rsidR="004B18EA">
              <w:rPr>
                <w:sz w:val="24"/>
              </w:rPr>
              <w:t>2</w:t>
            </w:r>
            <w:r w:rsidR="00661C50" w:rsidRPr="00A21FCD">
              <w:rPr>
                <w:sz w:val="24"/>
              </w:rPr>
              <w:t>-2</w:t>
            </w:r>
            <w:r w:rsidR="004B18EA">
              <w:rPr>
                <w:sz w:val="24"/>
              </w:rPr>
              <w:t>3</w:t>
            </w:r>
            <w:r w:rsidRPr="00A21FCD">
              <w:rPr>
                <w:sz w:val="24"/>
              </w:rPr>
              <w:t>:</w:t>
            </w:r>
            <w:r w:rsidR="0036215C" w:rsidRPr="00A21FCD">
              <w:rPr>
                <w:sz w:val="24"/>
              </w:rPr>
              <w:t xml:space="preserve"> 92.</w:t>
            </w:r>
            <w:r w:rsidR="004B18EA">
              <w:rPr>
                <w:sz w:val="24"/>
              </w:rPr>
              <w:t>5</w:t>
            </w:r>
            <w:r w:rsidR="0036215C" w:rsidRPr="00A21FCD">
              <w:rPr>
                <w:sz w:val="24"/>
              </w:rPr>
              <w:t>%</w:t>
            </w:r>
          </w:p>
          <w:p w14:paraId="768E767C" w14:textId="75E06EC0" w:rsidR="007B5D0C" w:rsidRPr="00A21FCD" w:rsidRDefault="007B5D0C" w:rsidP="007B5D0C">
            <w:pPr>
              <w:pStyle w:val="TableParagraph"/>
              <w:spacing w:before="0"/>
              <w:ind w:left="110"/>
              <w:rPr>
                <w:sz w:val="24"/>
              </w:rPr>
            </w:pPr>
          </w:p>
          <w:p w14:paraId="52645E1E" w14:textId="77777777" w:rsidR="007B5D0C" w:rsidRPr="00A21FCD" w:rsidRDefault="007B5D0C" w:rsidP="007B5D0C">
            <w:pPr>
              <w:pStyle w:val="TableParagraph"/>
              <w:spacing w:before="0" w:line="288" w:lineRule="auto"/>
              <w:ind w:left="110" w:right="162"/>
              <w:rPr>
                <w:sz w:val="24"/>
              </w:rPr>
            </w:pPr>
          </w:p>
          <w:p w14:paraId="6F7B9477" w14:textId="751B7D92" w:rsidR="007B5D0C" w:rsidRPr="00A21FCD" w:rsidRDefault="0036215C" w:rsidP="007B5D0C">
            <w:pPr>
              <w:pStyle w:val="TableParagraph"/>
              <w:spacing w:before="0" w:line="288" w:lineRule="auto"/>
              <w:ind w:left="110" w:right="162"/>
              <w:rPr>
                <w:sz w:val="24"/>
              </w:rPr>
            </w:pPr>
            <w:r w:rsidRPr="00A21FCD">
              <w:rPr>
                <w:sz w:val="24"/>
              </w:rPr>
              <w:t>Overall school attendance</w:t>
            </w:r>
            <w:r w:rsidR="00661C50" w:rsidRPr="00A21FCD">
              <w:rPr>
                <w:sz w:val="24"/>
              </w:rPr>
              <w:t xml:space="preserve"> 202</w:t>
            </w:r>
            <w:r w:rsidR="004B18EA">
              <w:rPr>
                <w:sz w:val="24"/>
              </w:rPr>
              <w:t>2</w:t>
            </w:r>
            <w:r w:rsidR="00661C50" w:rsidRPr="00A21FCD">
              <w:rPr>
                <w:sz w:val="24"/>
              </w:rPr>
              <w:t>-2</w:t>
            </w:r>
            <w:r w:rsidR="004B18EA">
              <w:rPr>
                <w:sz w:val="24"/>
              </w:rPr>
              <w:t>3</w:t>
            </w:r>
            <w:r w:rsidRPr="00A21FCD">
              <w:rPr>
                <w:sz w:val="24"/>
              </w:rPr>
              <w:t>: 9</w:t>
            </w:r>
            <w:r w:rsidR="004B18EA">
              <w:rPr>
                <w:sz w:val="24"/>
              </w:rPr>
              <w:t>5</w:t>
            </w:r>
            <w:r w:rsidRPr="00A21FCD">
              <w:rPr>
                <w:sz w:val="24"/>
              </w:rPr>
              <w:t>.</w:t>
            </w:r>
            <w:r w:rsidR="004B18EA">
              <w:rPr>
                <w:sz w:val="24"/>
              </w:rPr>
              <w:t>2</w:t>
            </w:r>
            <w:r w:rsidRPr="00A21FCD">
              <w:rPr>
                <w:sz w:val="24"/>
              </w:rPr>
              <w:t>%</w:t>
            </w:r>
          </w:p>
          <w:p w14:paraId="611FE8F3" w14:textId="77777777" w:rsidR="007B5D0C" w:rsidRPr="00A21FCD" w:rsidRDefault="007B5D0C" w:rsidP="007B5D0C">
            <w:pPr>
              <w:pStyle w:val="TableParagraph"/>
              <w:spacing w:before="1" w:line="288" w:lineRule="auto"/>
              <w:ind w:left="110" w:right="347"/>
              <w:rPr>
                <w:sz w:val="24"/>
              </w:rPr>
            </w:pPr>
          </w:p>
        </w:tc>
      </w:tr>
      <w:tr w:rsidR="007B5D0C" w14:paraId="0EC705DB" w14:textId="77777777">
        <w:trPr>
          <w:trHeight w:val="2238"/>
        </w:trPr>
        <w:tc>
          <w:tcPr>
            <w:tcW w:w="3164" w:type="dxa"/>
          </w:tcPr>
          <w:p w14:paraId="39EAF823" w14:textId="77777777" w:rsidR="007B5D0C" w:rsidRDefault="007B5D0C" w:rsidP="007B5D0C">
            <w:pPr>
              <w:pStyle w:val="TableParagraph"/>
              <w:spacing w:before="0" w:line="288" w:lineRule="auto"/>
              <w:ind w:left="110" w:right="441"/>
              <w:rPr>
                <w:sz w:val="24"/>
              </w:rPr>
            </w:pPr>
            <w:r>
              <w:rPr>
                <w:color w:val="0D0D0D"/>
                <w:sz w:val="24"/>
              </w:rPr>
              <w:t>To continue the positive trend of the percentage of disadvantaged students achieving the EBacc</w:t>
            </w:r>
          </w:p>
        </w:tc>
        <w:tc>
          <w:tcPr>
            <w:tcW w:w="3161" w:type="dxa"/>
          </w:tcPr>
          <w:p w14:paraId="063E3248" w14:textId="5BD87C10" w:rsidR="007B5D0C" w:rsidRDefault="005C5D44" w:rsidP="007B5D0C">
            <w:pPr>
              <w:pStyle w:val="TableParagraph"/>
              <w:spacing w:before="0" w:line="288" w:lineRule="auto"/>
              <w:ind w:left="108" w:right="614"/>
              <w:rPr>
                <w:sz w:val="24"/>
              </w:rPr>
            </w:pPr>
            <w:r>
              <w:rPr>
                <w:color w:val="0D0D0D"/>
                <w:sz w:val="24"/>
              </w:rPr>
              <w:t xml:space="preserve">What </w:t>
            </w:r>
            <w:proofErr w:type="gramStart"/>
            <w:r>
              <w:rPr>
                <w:color w:val="0D0D0D"/>
                <w:sz w:val="24"/>
              </w:rPr>
              <w:t>is</w:t>
            </w:r>
            <w:proofErr w:type="gramEnd"/>
            <w:r>
              <w:rPr>
                <w:color w:val="0D0D0D"/>
                <w:sz w:val="24"/>
              </w:rPr>
              <w:t xml:space="preserve"> the students’ </w:t>
            </w:r>
            <w:proofErr w:type="spellStart"/>
            <w:r>
              <w:rPr>
                <w:color w:val="0D0D0D"/>
                <w:sz w:val="24"/>
              </w:rPr>
              <w:t>Ebacc</w:t>
            </w:r>
            <w:proofErr w:type="spellEnd"/>
            <w:r>
              <w:rPr>
                <w:color w:val="0D0D0D"/>
                <w:sz w:val="24"/>
              </w:rPr>
              <w:t xml:space="preserve"> performance?</w:t>
            </w:r>
          </w:p>
        </w:tc>
        <w:tc>
          <w:tcPr>
            <w:tcW w:w="3164" w:type="dxa"/>
          </w:tcPr>
          <w:p w14:paraId="345ACBAE" w14:textId="04D3D750" w:rsidR="005C5D44" w:rsidRPr="00A21FCD" w:rsidRDefault="005C5D44" w:rsidP="007B5D0C">
            <w:pPr>
              <w:pStyle w:val="TableParagraph"/>
              <w:spacing w:before="0" w:line="288" w:lineRule="auto"/>
              <w:ind w:left="110" w:right="347"/>
              <w:rPr>
                <w:sz w:val="24"/>
              </w:rPr>
            </w:pPr>
            <w:proofErr w:type="spellStart"/>
            <w:r w:rsidRPr="00A21FCD">
              <w:rPr>
                <w:sz w:val="24"/>
              </w:rPr>
              <w:t>Ebacc</w:t>
            </w:r>
            <w:proofErr w:type="spellEnd"/>
            <w:r w:rsidRPr="00A21FCD">
              <w:rPr>
                <w:sz w:val="24"/>
              </w:rPr>
              <w:t xml:space="preserve"> entry:</w:t>
            </w:r>
            <w:r w:rsidR="00C4455B">
              <w:rPr>
                <w:sz w:val="24"/>
              </w:rPr>
              <w:t xml:space="preserve"> </w:t>
            </w:r>
          </w:p>
          <w:p w14:paraId="0F308A4D" w14:textId="2E663D34" w:rsidR="005C5D44" w:rsidRPr="00A21FCD" w:rsidRDefault="005C5D44" w:rsidP="005C5D44">
            <w:pPr>
              <w:pStyle w:val="TableParagraph"/>
              <w:spacing w:before="0" w:line="288" w:lineRule="auto"/>
              <w:ind w:left="110" w:right="347"/>
              <w:rPr>
                <w:sz w:val="24"/>
              </w:rPr>
            </w:pPr>
            <w:r w:rsidRPr="00A21FCD">
              <w:rPr>
                <w:sz w:val="24"/>
              </w:rPr>
              <w:t xml:space="preserve">disadvantaged: </w:t>
            </w:r>
            <w:r w:rsidR="00C4455B">
              <w:rPr>
                <w:sz w:val="24"/>
              </w:rPr>
              <w:t>100%</w:t>
            </w:r>
          </w:p>
          <w:p w14:paraId="5436746D" w14:textId="15414EC0" w:rsidR="005C5D44" w:rsidRPr="00A21FCD" w:rsidRDefault="005C5D44" w:rsidP="005C5D44">
            <w:pPr>
              <w:pStyle w:val="TableParagraph"/>
              <w:spacing w:before="0" w:line="288" w:lineRule="auto"/>
              <w:ind w:left="110" w:right="347"/>
              <w:rPr>
                <w:sz w:val="24"/>
              </w:rPr>
            </w:pPr>
            <w:r w:rsidRPr="00A21FCD">
              <w:rPr>
                <w:sz w:val="24"/>
              </w:rPr>
              <w:t xml:space="preserve">non -disadvantaged: </w:t>
            </w:r>
            <w:r w:rsidR="00C4455B">
              <w:rPr>
                <w:sz w:val="24"/>
              </w:rPr>
              <w:t>98%</w:t>
            </w:r>
          </w:p>
          <w:p w14:paraId="2205B4C8" w14:textId="4FF5129B" w:rsidR="0066620C" w:rsidRPr="00A21FCD" w:rsidRDefault="0066620C" w:rsidP="005C5D44">
            <w:pPr>
              <w:pStyle w:val="TableParagraph"/>
              <w:spacing w:before="0" w:line="288" w:lineRule="auto"/>
              <w:ind w:left="110" w:right="347"/>
              <w:rPr>
                <w:sz w:val="24"/>
              </w:rPr>
            </w:pPr>
          </w:p>
          <w:p w14:paraId="54C9B73C" w14:textId="5DB18D50" w:rsidR="00661C50" w:rsidRPr="00A21FCD" w:rsidRDefault="0066620C" w:rsidP="005C5D44">
            <w:pPr>
              <w:pStyle w:val="TableParagraph"/>
              <w:spacing w:before="0" w:line="288" w:lineRule="auto"/>
              <w:ind w:left="110" w:right="347"/>
              <w:rPr>
                <w:sz w:val="24"/>
              </w:rPr>
            </w:pPr>
            <w:r w:rsidRPr="00A21FCD">
              <w:rPr>
                <w:sz w:val="24"/>
              </w:rPr>
              <w:t>Average EBacc APS score</w:t>
            </w:r>
            <w:r w:rsidR="00661C50" w:rsidRPr="00A21FCD">
              <w:rPr>
                <w:sz w:val="24"/>
              </w:rPr>
              <w:t xml:space="preserve">: </w:t>
            </w:r>
            <w:r w:rsidR="00C4455B">
              <w:rPr>
                <w:sz w:val="24"/>
              </w:rPr>
              <w:t>5.74</w:t>
            </w:r>
          </w:p>
          <w:p w14:paraId="1B1BA649" w14:textId="7B37C590" w:rsidR="004709A5" w:rsidRPr="00A21FCD" w:rsidRDefault="00661C50" w:rsidP="00C4455B">
            <w:pPr>
              <w:pStyle w:val="TableParagraph"/>
              <w:spacing w:before="0" w:line="288" w:lineRule="auto"/>
              <w:ind w:left="110" w:right="347"/>
              <w:rPr>
                <w:sz w:val="24"/>
              </w:rPr>
            </w:pPr>
            <w:r w:rsidRPr="00A21FCD">
              <w:rPr>
                <w:sz w:val="24"/>
              </w:rPr>
              <w:t>D</w:t>
            </w:r>
            <w:r w:rsidR="0066620C" w:rsidRPr="00A21FCD">
              <w:rPr>
                <w:sz w:val="24"/>
              </w:rPr>
              <w:t xml:space="preserve">isadvantaged </w:t>
            </w:r>
            <w:r w:rsidRPr="00A21FCD">
              <w:rPr>
                <w:sz w:val="24"/>
              </w:rPr>
              <w:t>EBacc APS score</w:t>
            </w:r>
            <w:r w:rsidR="0066620C" w:rsidRPr="00A21FCD">
              <w:rPr>
                <w:sz w:val="24"/>
              </w:rPr>
              <w:t xml:space="preserve">: </w:t>
            </w:r>
            <w:r w:rsidR="00C4455B">
              <w:rPr>
                <w:sz w:val="24"/>
              </w:rPr>
              <w:t>4.80</w:t>
            </w:r>
          </w:p>
        </w:tc>
      </w:tr>
      <w:tr w:rsidR="007B5D0C" w14:paraId="4D10A0FA" w14:textId="77777777">
        <w:trPr>
          <w:trHeight w:val="2238"/>
        </w:trPr>
        <w:tc>
          <w:tcPr>
            <w:tcW w:w="3164" w:type="dxa"/>
          </w:tcPr>
          <w:p w14:paraId="447BAAE1" w14:textId="51EFE601" w:rsidR="007B5D0C" w:rsidRDefault="007B5D0C" w:rsidP="007B5D0C">
            <w:pPr>
              <w:pStyle w:val="TableParagraph"/>
              <w:spacing w:before="0" w:line="288" w:lineRule="auto"/>
              <w:ind w:left="110" w:right="441"/>
              <w:rPr>
                <w:color w:val="0D0D0D"/>
                <w:sz w:val="24"/>
              </w:rPr>
            </w:pPr>
            <w:r>
              <w:rPr>
                <w:color w:val="0D0D0D"/>
                <w:sz w:val="24"/>
              </w:rPr>
              <w:lastRenderedPageBreak/>
              <w:t xml:space="preserve">To ensure students in all year groups remain on track, </w:t>
            </w:r>
            <w:proofErr w:type="gramStart"/>
            <w:r>
              <w:rPr>
                <w:color w:val="0D0D0D"/>
                <w:sz w:val="24"/>
              </w:rPr>
              <w:t>intervening</w:t>
            </w:r>
            <w:proofErr w:type="gramEnd"/>
            <w:r>
              <w:rPr>
                <w:color w:val="0D0D0D"/>
                <w:sz w:val="24"/>
              </w:rPr>
              <w:t xml:space="preserve"> when necessary, to ensure they are best placed to achieve their targets when they are in Year 11</w:t>
            </w:r>
          </w:p>
        </w:tc>
        <w:tc>
          <w:tcPr>
            <w:tcW w:w="3161" w:type="dxa"/>
          </w:tcPr>
          <w:p w14:paraId="57574ABC" w14:textId="1368EB38" w:rsidR="007B5D0C" w:rsidRDefault="007B5D0C" w:rsidP="007B5D0C">
            <w:pPr>
              <w:pStyle w:val="TableParagraph"/>
              <w:spacing w:before="0" w:line="288" w:lineRule="auto"/>
              <w:ind w:left="108" w:right="614"/>
              <w:rPr>
                <w:color w:val="0D0D0D"/>
                <w:sz w:val="24"/>
              </w:rPr>
            </w:pPr>
            <w:r>
              <w:rPr>
                <w:color w:val="0D0D0D"/>
                <w:sz w:val="24"/>
              </w:rPr>
              <w:t xml:space="preserve">Did students maintain expected progress against </w:t>
            </w:r>
            <w:r w:rsidR="008B0CA5">
              <w:rPr>
                <w:color w:val="0D0D0D"/>
                <w:sz w:val="24"/>
              </w:rPr>
              <w:t>indicative grades</w:t>
            </w:r>
            <w:r w:rsidR="006B0CC4">
              <w:rPr>
                <w:color w:val="0D0D0D"/>
                <w:sz w:val="24"/>
              </w:rPr>
              <w:t>?</w:t>
            </w:r>
          </w:p>
        </w:tc>
        <w:tc>
          <w:tcPr>
            <w:tcW w:w="3164" w:type="dxa"/>
          </w:tcPr>
          <w:p w14:paraId="4005B107" w14:textId="77777777" w:rsidR="007B5D0C" w:rsidRPr="00A21FCD" w:rsidRDefault="007B5D0C" w:rsidP="007B5D0C">
            <w:pPr>
              <w:pStyle w:val="TableParagraph"/>
              <w:spacing w:before="0" w:line="288" w:lineRule="auto"/>
              <w:ind w:left="110" w:right="111"/>
              <w:rPr>
                <w:sz w:val="24"/>
              </w:rPr>
            </w:pPr>
            <w:r w:rsidRPr="00A21FCD">
              <w:rPr>
                <w:sz w:val="24"/>
              </w:rPr>
              <w:t>Reviewed targets were achieved by all disadvantaged students, although catch up plans will attempt to claw back previously higher progress targets.</w:t>
            </w:r>
          </w:p>
          <w:p w14:paraId="35653D0C" w14:textId="77777777" w:rsidR="007B5D0C" w:rsidRPr="00A21FCD" w:rsidRDefault="007B5D0C" w:rsidP="007B5D0C">
            <w:pPr>
              <w:pStyle w:val="TableParagraph"/>
              <w:spacing w:before="0"/>
              <w:ind w:left="0"/>
              <w:rPr>
                <w:sz w:val="24"/>
              </w:rPr>
            </w:pPr>
          </w:p>
          <w:p w14:paraId="07E3D798" w14:textId="77777777" w:rsidR="007B5D0C" w:rsidRPr="00A21FCD" w:rsidRDefault="007B5D0C" w:rsidP="007B5D0C">
            <w:pPr>
              <w:pStyle w:val="TableParagraph"/>
              <w:spacing w:before="9"/>
              <w:ind w:left="0"/>
              <w:rPr>
                <w:sz w:val="19"/>
              </w:rPr>
            </w:pPr>
          </w:p>
          <w:p w14:paraId="4ADAF5B3" w14:textId="2555E60B" w:rsidR="007B5D0C" w:rsidRPr="00A21FCD" w:rsidRDefault="007B5D0C" w:rsidP="007B5D0C">
            <w:pPr>
              <w:pStyle w:val="TableParagraph"/>
              <w:spacing w:before="0" w:line="288" w:lineRule="auto"/>
              <w:ind w:left="110" w:right="347"/>
              <w:rPr>
                <w:sz w:val="24"/>
              </w:rPr>
            </w:pPr>
            <w:r w:rsidRPr="00A21FCD">
              <w:rPr>
                <w:sz w:val="24"/>
              </w:rPr>
              <w:t>Review of grading system towards indicative grades for KS4, using FFT targeting has reset expectations. Students no longer graded at KS3 and subject to progress monitoring via enhanced module report</w:t>
            </w:r>
            <w:r w:rsidR="006B0CC4" w:rsidRPr="00A21FCD">
              <w:rPr>
                <w:sz w:val="24"/>
              </w:rPr>
              <w:t>. Heads of Year to have oversight of progress.</w:t>
            </w:r>
          </w:p>
        </w:tc>
      </w:tr>
      <w:tr w:rsidR="006E5B7F" w14:paraId="29B19259" w14:textId="77777777">
        <w:trPr>
          <w:trHeight w:val="2238"/>
        </w:trPr>
        <w:tc>
          <w:tcPr>
            <w:tcW w:w="3164" w:type="dxa"/>
          </w:tcPr>
          <w:p w14:paraId="7AAD9C2F" w14:textId="6DDC244E" w:rsidR="006E5B7F" w:rsidRDefault="006E5B7F" w:rsidP="007B5D0C">
            <w:pPr>
              <w:pStyle w:val="TableParagraph"/>
              <w:spacing w:before="0" w:line="288" w:lineRule="auto"/>
              <w:ind w:left="110" w:right="441"/>
              <w:rPr>
                <w:color w:val="0D0D0D"/>
                <w:sz w:val="24"/>
              </w:rPr>
            </w:pPr>
            <w:r>
              <w:rPr>
                <w:color w:val="0D0D0D"/>
                <w:sz w:val="24"/>
              </w:rPr>
              <w:t xml:space="preserve">To ensure students who leave the school at the end of Year 11 gone on to education, </w:t>
            </w:r>
            <w:proofErr w:type="gramStart"/>
            <w:r>
              <w:rPr>
                <w:color w:val="0D0D0D"/>
                <w:sz w:val="24"/>
              </w:rPr>
              <w:t>training</w:t>
            </w:r>
            <w:proofErr w:type="gramEnd"/>
            <w:r>
              <w:rPr>
                <w:color w:val="0D0D0D"/>
                <w:sz w:val="24"/>
              </w:rPr>
              <w:t xml:space="preserve"> or employment.</w:t>
            </w:r>
          </w:p>
        </w:tc>
        <w:tc>
          <w:tcPr>
            <w:tcW w:w="3161" w:type="dxa"/>
          </w:tcPr>
          <w:p w14:paraId="714DB76C" w14:textId="6A3D57F2" w:rsidR="006E5B7F" w:rsidRDefault="006E5B7F" w:rsidP="006E5B7F">
            <w:pPr>
              <w:pStyle w:val="TableParagraph"/>
              <w:spacing w:before="0" w:line="288" w:lineRule="auto"/>
              <w:ind w:left="0" w:right="614"/>
              <w:rPr>
                <w:color w:val="0D0D0D"/>
                <w:sz w:val="24"/>
              </w:rPr>
            </w:pPr>
            <w:r>
              <w:rPr>
                <w:color w:val="0D0D0D"/>
                <w:sz w:val="24"/>
              </w:rPr>
              <w:t xml:space="preserve">Are all our school leavers in education, </w:t>
            </w:r>
            <w:proofErr w:type="gramStart"/>
            <w:r>
              <w:rPr>
                <w:color w:val="0D0D0D"/>
                <w:sz w:val="24"/>
              </w:rPr>
              <w:t>training</w:t>
            </w:r>
            <w:proofErr w:type="gramEnd"/>
            <w:r>
              <w:rPr>
                <w:color w:val="0D0D0D"/>
                <w:sz w:val="24"/>
              </w:rPr>
              <w:t xml:space="preserve"> or employment?</w:t>
            </w:r>
          </w:p>
        </w:tc>
        <w:tc>
          <w:tcPr>
            <w:tcW w:w="3164" w:type="dxa"/>
          </w:tcPr>
          <w:p w14:paraId="4D82B048" w14:textId="6ED617B2" w:rsidR="006E5B7F" w:rsidRPr="00A21FCD" w:rsidRDefault="00647C75" w:rsidP="007B5D0C">
            <w:pPr>
              <w:pStyle w:val="TableParagraph"/>
              <w:spacing w:before="0" w:line="288" w:lineRule="auto"/>
              <w:ind w:left="110" w:right="111"/>
              <w:rPr>
                <w:sz w:val="24"/>
              </w:rPr>
            </w:pPr>
            <w:r>
              <w:rPr>
                <w:sz w:val="24"/>
              </w:rPr>
              <w:t>100% of</w:t>
            </w:r>
            <w:r w:rsidR="006E5B7F">
              <w:rPr>
                <w:sz w:val="24"/>
              </w:rPr>
              <w:t xml:space="preserve"> students who left at the end of Year 11 are in education, </w:t>
            </w:r>
            <w:proofErr w:type="gramStart"/>
            <w:r w:rsidR="006E5B7F">
              <w:rPr>
                <w:sz w:val="24"/>
              </w:rPr>
              <w:t>training</w:t>
            </w:r>
            <w:proofErr w:type="gramEnd"/>
            <w:r w:rsidR="006E5B7F">
              <w:rPr>
                <w:sz w:val="24"/>
              </w:rPr>
              <w:t xml:space="preserve"> or employment</w:t>
            </w:r>
            <w:r>
              <w:rPr>
                <w:sz w:val="24"/>
              </w:rPr>
              <w:t xml:space="preserve"> (no NEETs)</w:t>
            </w:r>
            <w:r w:rsidR="006E5B7F">
              <w:rPr>
                <w:sz w:val="24"/>
              </w:rPr>
              <w:t xml:space="preserve">. This is due to expert advice and support from the Careers. </w:t>
            </w:r>
          </w:p>
        </w:tc>
      </w:tr>
    </w:tbl>
    <w:p w14:paraId="0438530B" w14:textId="00D62797" w:rsidR="00FF6C4B" w:rsidRDefault="00FF6C4B">
      <w:pPr>
        <w:spacing w:line="288" w:lineRule="auto"/>
        <w:rPr>
          <w:sz w:val="24"/>
        </w:rPr>
        <w:sectPr w:rsidR="00FF6C4B" w:rsidSect="00BE7C4D">
          <w:pgSz w:w="11910" w:h="16840"/>
          <w:pgMar w:top="1080" w:right="1160" w:bottom="960" w:left="1020" w:header="0" w:footer="696" w:gutter="0"/>
          <w:cols w:space="720"/>
        </w:sectPr>
      </w:pPr>
    </w:p>
    <w:p w14:paraId="57CD60DE" w14:textId="23AA3287" w:rsidR="00DD1224" w:rsidRDefault="006308FB" w:rsidP="00DD1224">
      <w:pPr>
        <w:spacing w:before="34"/>
        <w:ind w:left="112"/>
        <w:rPr>
          <w:b/>
          <w:sz w:val="24"/>
        </w:rPr>
      </w:pPr>
      <w:r>
        <w:rPr>
          <w:b/>
          <w:color w:val="0F4F75"/>
          <w:sz w:val="24"/>
        </w:rPr>
        <w:lastRenderedPageBreak/>
        <w:t>Part C: Recovery Premium Strategy Outcomes 202</w:t>
      </w:r>
      <w:r w:rsidR="00DD1224">
        <w:rPr>
          <w:b/>
          <w:color w:val="0F4F75"/>
          <w:sz w:val="24"/>
        </w:rPr>
        <w:t>2</w:t>
      </w:r>
      <w:r>
        <w:rPr>
          <w:b/>
          <w:color w:val="0F4F75"/>
          <w:sz w:val="24"/>
        </w:rPr>
        <w:t xml:space="preserve"> </w:t>
      </w:r>
      <w:r w:rsidR="00DD1224">
        <w:rPr>
          <w:b/>
          <w:color w:val="0F4F75"/>
          <w:sz w:val="24"/>
        </w:rPr>
        <w:t>–</w:t>
      </w:r>
      <w:r>
        <w:rPr>
          <w:b/>
          <w:color w:val="0F4F75"/>
          <w:sz w:val="24"/>
        </w:rPr>
        <w:t xml:space="preserve"> 2023</w:t>
      </w:r>
    </w:p>
    <w:p w14:paraId="3D978BA3" w14:textId="77777777" w:rsidR="00DD1224" w:rsidRDefault="00DD1224" w:rsidP="00DD1224">
      <w:pPr>
        <w:spacing w:before="34"/>
        <w:ind w:left="112"/>
        <w:rPr>
          <w:b/>
          <w:sz w:val="24"/>
        </w:rPr>
      </w:pPr>
    </w:p>
    <w:p w14:paraId="1F0BD6D5" w14:textId="546E5901" w:rsidR="006308FB" w:rsidRPr="00DD1224" w:rsidRDefault="00DD1224" w:rsidP="00DD1224">
      <w:pPr>
        <w:spacing w:before="34"/>
        <w:ind w:left="112"/>
        <w:rPr>
          <w:b/>
          <w:sz w:val="24"/>
        </w:rPr>
      </w:pPr>
      <w:r>
        <w:rPr>
          <w:b/>
          <w:sz w:val="24"/>
        </w:rPr>
        <w:t xml:space="preserve">Amount of funding for 2022-23: </w:t>
      </w:r>
      <w:r w:rsidRPr="00DD1224">
        <w:rPr>
          <w:sz w:val="24"/>
        </w:rPr>
        <w:t>£31,740</w:t>
      </w:r>
    </w:p>
    <w:p w14:paraId="243D7552" w14:textId="77777777" w:rsidR="006308FB" w:rsidRDefault="006308FB" w:rsidP="006308FB">
      <w:pPr>
        <w:spacing w:before="4" w:after="1"/>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4"/>
        <w:gridCol w:w="3161"/>
        <w:gridCol w:w="3164"/>
      </w:tblGrid>
      <w:tr w:rsidR="006308FB" w14:paraId="6BCA7888" w14:textId="77777777" w:rsidTr="007F78D9">
        <w:trPr>
          <w:trHeight w:val="590"/>
        </w:trPr>
        <w:tc>
          <w:tcPr>
            <w:tcW w:w="3164" w:type="dxa"/>
          </w:tcPr>
          <w:p w14:paraId="64CA9501" w14:textId="77777777" w:rsidR="006308FB" w:rsidRDefault="006308FB" w:rsidP="007F78D9">
            <w:pPr>
              <w:pStyle w:val="TableParagraph"/>
              <w:spacing w:before="0" w:line="292" w:lineRule="exact"/>
              <w:ind w:left="684"/>
              <w:rPr>
                <w:b/>
                <w:sz w:val="24"/>
              </w:rPr>
            </w:pPr>
            <w:r>
              <w:rPr>
                <w:b/>
                <w:color w:val="0D0D0D"/>
                <w:sz w:val="24"/>
              </w:rPr>
              <w:t>Desired outcomes</w:t>
            </w:r>
          </w:p>
        </w:tc>
        <w:tc>
          <w:tcPr>
            <w:tcW w:w="3161" w:type="dxa"/>
          </w:tcPr>
          <w:p w14:paraId="4AC33120" w14:textId="77777777" w:rsidR="006308FB" w:rsidRDefault="006308FB" w:rsidP="007F78D9">
            <w:pPr>
              <w:pStyle w:val="TableParagraph"/>
              <w:spacing w:before="0" w:line="292" w:lineRule="exact"/>
              <w:ind w:left="820"/>
              <w:rPr>
                <w:b/>
                <w:sz w:val="24"/>
              </w:rPr>
            </w:pPr>
            <w:r>
              <w:rPr>
                <w:b/>
                <w:color w:val="0D0D0D"/>
                <w:sz w:val="24"/>
              </w:rPr>
              <w:t>Success criteria</w:t>
            </w:r>
          </w:p>
        </w:tc>
        <w:tc>
          <w:tcPr>
            <w:tcW w:w="3164" w:type="dxa"/>
          </w:tcPr>
          <w:p w14:paraId="3D406E0B" w14:textId="77777777" w:rsidR="006308FB" w:rsidRDefault="006308FB" w:rsidP="007F78D9">
            <w:pPr>
              <w:pStyle w:val="TableParagraph"/>
              <w:spacing w:before="0" w:line="292" w:lineRule="exact"/>
              <w:ind w:left="1217" w:right="1205"/>
              <w:jc w:val="center"/>
              <w:rPr>
                <w:b/>
                <w:sz w:val="24"/>
              </w:rPr>
            </w:pPr>
            <w:r>
              <w:rPr>
                <w:b/>
                <w:color w:val="0D0D0D"/>
                <w:sz w:val="24"/>
              </w:rPr>
              <w:t>Impact</w:t>
            </w:r>
          </w:p>
        </w:tc>
      </w:tr>
      <w:tr w:rsidR="006308FB" w14:paraId="5FF910CD" w14:textId="77777777" w:rsidTr="007F78D9">
        <w:trPr>
          <w:trHeight w:val="1888"/>
        </w:trPr>
        <w:tc>
          <w:tcPr>
            <w:tcW w:w="3164" w:type="dxa"/>
          </w:tcPr>
          <w:p w14:paraId="517EDFC2" w14:textId="0F7BCF2A" w:rsidR="006308FB" w:rsidRDefault="006308FB" w:rsidP="007F78D9">
            <w:pPr>
              <w:pStyle w:val="TableParagraph"/>
              <w:spacing w:before="1" w:line="288" w:lineRule="auto"/>
              <w:ind w:left="110" w:right="634"/>
              <w:rPr>
                <w:sz w:val="24"/>
              </w:rPr>
            </w:pPr>
            <w:r>
              <w:rPr>
                <w:color w:val="0D0D0D"/>
                <w:sz w:val="24"/>
              </w:rPr>
              <w:t>Catch up strategies utilised to ensure students make expected progress and perform in line with their peers in terminal examinations</w:t>
            </w:r>
          </w:p>
        </w:tc>
        <w:tc>
          <w:tcPr>
            <w:tcW w:w="3161" w:type="dxa"/>
          </w:tcPr>
          <w:p w14:paraId="3667CAB4" w14:textId="77777777" w:rsidR="006308FB" w:rsidRDefault="006308FB" w:rsidP="007F78D9">
            <w:pPr>
              <w:pStyle w:val="TableParagraph"/>
              <w:spacing w:before="1" w:line="288" w:lineRule="auto"/>
              <w:ind w:left="108" w:right="191"/>
              <w:rPr>
                <w:color w:val="0D0D0D"/>
                <w:sz w:val="24"/>
              </w:rPr>
            </w:pPr>
            <w:r>
              <w:rPr>
                <w:color w:val="0D0D0D"/>
                <w:sz w:val="24"/>
              </w:rPr>
              <w:t>How did these compare nationally?</w:t>
            </w:r>
            <w:r w:rsidR="00E51197">
              <w:rPr>
                <w:color w:val="0D0D0D"/>
                <w:sz w:val="24"/>
              </w:rPr>
              <w:t xml:space="preserve"> </w:t>
            </w:r>
          </w:p>
          <w:p w14:paraId="0B5AF41D" w14:textId="1EE1A71E" w:rsidR="00DD1284" w:rsidRDefault="00DF06F9" w:rsidP="007F78D9">
            <w:pPr>
              <w:pStyle w:val="TableParagraph"/>
              <w:spacing w:before="1" w:line="288" w:lineRule="auto"/>
              <w:ind w:left="108" w:right="191"/>
              <w:rPr>
                <w:sz w:val="24"/>
              </w:rPr>
            </w:pPr>
            <w:r w:rsidRPr="00DD1224">
              <w:rPr>
                <w:sz w:val="24"/>
              </w:rPr>
              <w:t>Catch up strategies</w:t>
            </w:r>
            <w:r w:rsidR="00EC6D87" w:rsidRPr="00DD1224">
              <w:rPr>
                <w:sz w:val="24"/>
              </w:rPr>
              <w:t xml:space="preserve"> to ensure that students achieve above national figures </w:t>
            </w:r>
          </w:p>
        </w:tc>
        <w:tc>
          <w:tcPr>
            <w:tcW w:w="3164" w:type="dxa"/>
          </w:tcPr>
          <w:p w14:paraId="2BF1732C" w14:textId="75232A3D" w:rsidR="006308FB" w:rsidRPr="00C619CB" w:rsidRDefault="00C619CB" w:rsidP="007F78D9">
            <w:pPr>
              <w:pStyle w:val="TableParagraph"/>
              <w:spacing w:before="9"/>
              <w:ind w:left="0"/>
            </w:pPr>
            <w:r w:rsidRPr="00C619CB">
              <w:t xml:space="preserve">Students consistently perform above their peers nationally. Progress </w:t>
            </w:r>
            <w:r>
              <w:t>8</w:t>
            </w:r>
            <w:r w:rsidRPr="00C619CB">
              <w:t xml:space="preserve"> and Attainment 8 figures are excellent.</w:t>
            </w:r>
          </w:p>
          <w:p w14:paraId="7C79D5A2" w14:textId="77777777" w:rsidR="00C619CB" w:rsidRPr="00C619CB" w:rsidRDefault="00C619CB" w:rsidP="00C619CB">
            <w:pPr>
              <w:pStyle w:val="TableParagraph"/>
              <w:spacing w:before="1" w:line="288" w:lineRule="auto"/>
              <w:ind w:left="0" w:right="478"/>
            </w:pPr>
            <w:r w:rsidRPr="00C619CB">
              <w:t>97% achieved 4+ in English and 94% in Maths</w:t>
            </w:r>
          </w:p>
          <w:p w14:paraId="1DF92351" w14:textId="77777777" w:rsidR="006308FB" w:rsidRDefault="00C619CB" w:rsidP="00C619CB">
            <w:pPr>
              <w:pStyle w:val="TableParagraph"/>
              <w:spacing w:before="1" w:line="288" w:lineRule="auto"/>
              <w:ind w:left="0" w:right="478"/>
            </w:pPr>
            <w:r w:rsidRPr="00C619CB">
              <w:t>88% achieved 5+ in English and 77% in Maths</w:t>
            </w:r>
          </w:p>
          <w:p w14:paraId="3B779109" w14:textId="77777777" w:rsidR="00A33B9F" w:rsidRDefault="00A33B9F" w:rsidP="00C619CB">
            <w:pPr>
              <w:pStyle w:val="TableParagraph"/>
              <w:spacing w:before="1" w:line="288" w:lineRule="auto"/>
              <w:ind w:left="0" w:right="478"/>
            </w:pPr>
          </w:p>
          <w:p w14:paraId="68DC215E" w14:textId="4600FD78" w:rsidR="00A33B9F" w:rsidRPr="0011063F" w:rsidRDefault="00A33B9F" w:rsidP="00C619CB">
            <w:pPr>
              <w:pStyle w:val="TableParagraph"/>
              <w:spacing w:before="1" w:line="288" w:lineRule="auto"/>
              <w:ind w:left="0" w:right="478"/>
              <w:rPr>
                <w:b/>
                <w:bCs/>
                <w:sz w:val="24"/>
              </w:rPr>
            </w:pPr>
          </w:p>
        </w:tc>
      </w:tr>
      <w:tr w:rsidR="006308FB" w14:paraId="1E5D9DCF" w14:textId="77777777" w:rsidTr="007F78D9">
        <w:trPr>
          <w:trHeight w:val="1888"/>
        </w:trPr>
        <w:tc>
          <w:tcPr>
            <w:tcW w:w="3164" w:type="dxa"/>
          </w:tcPr>
          <w:p w14:paraId="710679C3" w14:textId="47FDF62C" w:rsidR="006308FB" w:rsidRDefault="006308FB" w:rsidP="006308FB">
            <w:pPr>
              <w:pStyle w:val="TableParagraph"/>
              <w:spacing w:before="1" w:line="288" w:lineRule="auto"/>
              <w:ind w:left="0" w:right="634"/>
              <w:rPr>
                <w:color w:val="0D0D0D"/>
                <w:sz w:val="24"/>
              </w:rPr>
            </w:pPr>
            <w:r>
              <w:rPr>
                <w:color w:val="0D0D0D"/>
                <w:sz w:val="24"/>
              </w:rPr>
              <w:t>High quality online provision</w:t>
            </w:r>
            <w:r w:rsidR="00C619CB">
              <w:rPr>
                <w:color w:val="0D0D0D"/>
                <w:sz w:val="24"/>
              </w:rPr>
              <w:t xml:space="preserve"> and </w:t>
            </w:r>
            <w:r w:rsidR="003116E0">
              <w:rPr>
                <w:color w:val="0D0D0D"/>
                <w:sz w:val="24"/>
              </w:rPr>
              <w:t>catch-up</w:t>
            </w:r>
            <w:r w:rsidR="00C619CB">
              <w:rPr>
                <w:color w:val="0D0D0D"/>
                <w:sz w:val="24"/>
              </w:rPr>
              <w:t xml:space="preserve"> resources prevent students falling behind</w:t>
            </w:r>
          </w:p>
        </w:tc>
        <w:tc>
          <w:tcPr>
            <w:tcW w:w="3161" w:type="dxa"/>
          </w:tcPr>
          <w:p w14:paraId="207A2042" w14:textId="0D8AF4D7" w:rsidR="006308FB" w:rsidRDefault="00E51197" w:rsidP="00EF37F6">
            <w:pPr>
              <w:pStyle w:val="TableParagraph"/>
              <w:spacing w:before="1" w:line="288" w:lineRule="auto"/>
              <w:ind w:left="0" w:right="191"/>
              <w:rPr>
                <w:color w:val="0D0D0D"/>
                <w:sz w:val="24"/>
              </w:rPr>
            </w:pPr>
            <w:r>
              <w:rPr>
                <w:color w:val="0D0D0D"/>
                <w:sz w:val="24"/>
              </w:rPr>
              <w:t>Students who are absent not disadvantaged when compared to their peers.</w:t>
            </w:r>
          </w:p>
        </w:tc>
        <w:tc>
          <w:tcPr>
            <w:tcW w:w="3164" w:type="dxa"/>
          </w:tcPr>
          <w:p w14:paraId="5B2BD6FC" w14:textId="7A2782FC" w:rsidR="006308FB" w:rsidRDefault="00E51197" w:rsidP="007F78D9">
            <w:pPr>
              <w:pStyle w:val="TableParagraph"/>
              <w:spacing w:before="1" w:line="288" w:lineRule="auto"/>
              <w:ind w:left="0" w:right="347"/>
              <w:rPr>
                <w:sz w:val="24"/>
              </w:rPr>
            </w:pPr>
            <w:r>
              <w:rPr>
                <w:sz w:val="24"/>
              </w:rPr>
              <w:t xml:space="preserve">Performance outcomes are consistent across all groups of students. </w:t>
            </w:r>
          </w:p>
          <w:p w14:paraId="32FA946C" w14:textId="77777777" w:rsidR="000F6DDE" w:rsidRDefault="000F6DDE" w:rsidP="007F78D9">
            <w:pPr>
              <w:pStyle w:val="TableParagraph"/>
              <w:spacing w:before="1" w:line="288" w:lineRule="auto"/>
              <w:ind w:left="0" w:right="347"/>
              <w:rPr>
                <w:sz w:val="24"/>
              </w:rPr>
            </w:pPr>
          </w:p>
          <w:p w14:paraId="36250160" w14:textId="735FD6C0" w:rsidR="000F6DDE" w:rsidRPr="00DD1224" w:rsidRDefault="000F6DDE" w:rsidP="007F78D9">
            <w:pPr>
              <w:pStyle w:val="TableParagraph"/>
              <w:spacing w:before="1" w:line="288" w:lineRule="auto"/>
              <w:ind w:left="0" w:right="347"/>
              <w:rPr>
                <w:sz w:val="24"/>
              </w:rPr>
            </w:pPr>
            <w:r w:rsidRPr="00DD1224">
              <w:rPr>
                <w:sz w:val="24"/>
              </w:rPr>
              <w:t xml:space="preserve">Attendance tracked and timely interventions put in place to ensure that </w:t>
            </w:r>
            <w:r w:rsidR="0027231F" w:rsidRPr="00DD1224">
              <w:rPr>
                <w:sz w:val="24"/>
              </w:rPr>
              <w:t>gaps in knowledge and readily filled.</w:t>
            </w:r>
          </w:p>
          <w:p w14:paraId="2AF91A7F" w14:textId="77777777" w:rsidR="0027231F" w:rsidRPr="00DD1224" w:rsidRDefault="0027231F" w:rsidP="007F78D9">
            <w:pPr>
              <w:pStyle w:val="TableParagraph"/>
              <w:spacing w:before="1" w:line="288" w:lineRule="auto"/>
              <w:ind w:left="0" w:right="347"/>
              <w:rPr>
                <w:sz w:val="24"/>
              </w:rPr>
            </w:pPr>
          </w:p>
          <w:p w14:paraId="3B0EA559" w14:textId="7DF73490" w:rsidR="0027231F" w:rsidRPr="00DD1224" w:rsidRDefault="0011063F" w:rsidP="007F78D9">
            <w:pPr>
              <w:pStyle w:val="TableParagraph"/>
              <w:spacing w:before="1" w:line="288" w:lineRule="auto"/>
              <w:ind w:left="0" w:right="347"/>
              <w:rPr>
                <w:sz w:val="24"/>
              </w:rPr>
            </w:pPr>
            <w:r w:rsidRPr="00DD1224">
              <w:rPr>
                <w:sz w:val="24"/>
              </w:rPr>
              <w:t>Disadvantaged</w:t>
            </w:r>
            <w:r w:rsidR="0027231F" w:rsidRPr="00DD1224">
              <w:rPr>
                <w:sz w:val="24"/>
              </w:rPr>
              <w:t xml:space="preserve"> pupils to be </w:t>
            </w:r>
            <w:r w:rsidR="00DD1224" w:rsidRPr="00DD1224">
              <w:rPr>
                <w:sz w:val="24"/>
              </w:rPr>
              <w:t>targeted</w:t>
            </w:r>
            <w:r w:rsidR="0027231F" w:rsidRPr="00DD1224">
              <w:rPr>
                <w:sz w:val="24"/>
              </w:rPr>
              <w:t xml:space="preserve"> </w:t>
            </w:r>
            <w:r w:rsidR="005B1E43" w:rsidRPr="00DD1224">
              <w:rPr>
                <w:sz w:val="24"/>
              </w:rPr>
              <w:t>by session 3 and Saturday school interventions</w:t>
            </w:r>
            <w:r w:rsidR="0070474F" w:rsidRPr="00DD1224">
              <w:rPr>
                <w:sz w:val="24"/>
              </w:rPr>
              <w:t xml:space="preserve"> having been highlighted by departmental/pastoral analysis</w:t>
            </w:r>
            <w:r w:rsidR="005B1E43" w:rsidRPr="00DD1224">
              <w:rPr>
                <w:sz w:val="24"/>
              </w:rPr>
              <w:t>.</w:t>
            </w:r>
          </w:p>
          <w:p w14:paraId="3BE369C6" w14:textId="77777777" w:rsidR="006308FB" w:rsidRPr="00A21FCD" w:rsidRDefault="006308FB" w:rsidP="007F78D9">
            <w:pPr>
              <w:pStyle w:val="TableParagraph"/>
              <w:spacing w:before="1" w:line="288" w:lineRule="auto"/>
              <w:ind w:left="110" w:right="347"/>
              <w:rPr>
                <w:sz w:val="24"/>
              </w:rPr>
            </w:pPr>
          </w:p>
        </w:tc>
      </w:tr>
      <w:tr w:rsidR="003116E0" w14:paraId="1AA37F91" w14:textId="77777777" w:rsidTr="007F78D9">
        <w:trPr>
          <w:trHeight w:val="1888"/>
        </w:trPr>
        <w:tc>
          <w:tcPr>
            <w:tcW w:w="3164" w:type="dxa"/>
          </w:tcPr>
          <w:p w14:paraId="0CC43380" w14:textId="1E5313FB" w:rsidR="003116E0" w:rsidRDefault="003116E0" w:rsidP="006308FB">
            <w:pPr>
              <w:pStyle w:val="TableParagraph"/>
              <w:spacing w:before="1" w:line="288" w:lineRule="auto"/>
              <w:ind w:left="0" w:right="634"/>
              <w:rPr>
                <w:color w:val="0D0D0D"/>
                <w:sz w:val="24"/>
              </w:rPr>
            </w:pPr>
            <w:r>
              <w:t>Additional resources ensure that all students can engage with education.</w:t>
            </w:r>
          </w:p>
        </w:tc>
        <w:tc>
          <w:tcPr>
            <w:tcW w:w="3161" w:type="dxa"/>
          </w:tcPr>
          <w:p w14:paraId="5C660372" w14:textId="3629243F" w:rsidR="003116E0" w:rsidRPr="003116E0" w:rsidRDefault="003116E0" w:rsidP="003116E0">
            <w:pPr>
              <w:pStyle w:val="TableParagraph"/>
              <w:spacing w:before="1" w:line="288" w:lineRule="auto"/>
              <w:ind w:left="108" w:right="191"/>
              <w:rPr>
                <w:color w:val="0D0D0D"/>
                <w:sz w:val="24"/>
              </w:rPr>
            </w:pPr>
            <w:r w:rsidRPr="003116E0">
              <w:rPr>
                <w:color w:val="0D0D0D"/>
                <w:sz w:val="24"/>
              </w:rPr>
              <w:t xml:space="preserve">Students can access lessons/curriculum during </w:t>
            </w:r>
          </w:p>
          <w:p w14:paraId="509F19A9" w14:textId="4E8701BC" w:rsidR="003116E0" w:rsidRPr="003116E0" w:rsidRDefault="003116E0" w:rsidP="003116E0">
            <w:pPr>
              <w:pStyle w:val="TableParagraph"/>
              <w:spacing w:before="1" w:line="288" w:lineRule="auto"/>
              <w:ind w:left="108" w:right="191"/>
              <w:rPr>
                <w:color w:val="0D0D0D"/>
                <w:sz w:val="24"/>
              </w:rPr>
            </w:pPr>
            <w:r w:rsidRPr="003116E0">
              <w:rPr>
                <w:color w:val="0D0D0D"/>
                <w:sz w:val="24"/>
              </w:rPr>
              <w:t xml:space="preserve">periods of </w:t>
            </w:r>
            <w:r>
              <w:rPr>
                <w:color w:val="0D0D0D"/>
                <w:sz w:val="24"/>
              </w:rPr>
              <w:t>absence.</w:t>
            </w:r>
          </w:p>
          <w:p w14:paraId="5DF85DBC" w14:textId="69BC81CF" w:rsidR="003116E0" w:rsidRDefault="003116E0" w:rsidP="003116E0">
            <w:pPr>
              <w:pStyle w:val="TableParagraph"/>
              <w:spacing w:before="1" w:line="288" w:lineRule="auto"/>
              <w:ind w:left="108" w:right="191"/>
              <w:rPr>
                <w:color w:val="0D0D0D"/>
                <w:sz w:val="24"/>
              </w:rPr>
            </w:pPr>
            <w:r w:rsidRPr="003116E0">
              <w:rPr>
                <w:color w:val="0D0D0D"/>
                <w:sz w:val="24"/>
              </w:rPr>
              <w:t>Resources provided are high</w:t>
            </w:r>
            <w:r>
              <w:rPr>
                <w:color w:val="0D0D0D"/>
                <w:sz w:val="24"/>
              </w:rPr>
              <w:t xml:space="preserve"> q</w:t>
            </w:r>
            <w:r w:rsidRPr="003116E0">
              <w:rPr>
                <w:color w:val="0D0D0D"/>
                <w:sz w:val="24"/>
              </w:rPr>
              <w:t>uality</w:t>
            </w:r>
            <w:r>
              <w:rPr>
                <w:color w:val="0D0D0D"/>
                <w:sz w:val="24"/>
              </w:rPr>
              <w:t>.</w:t>
            </w:r>
          </w:p>
        </w:tc>
        <w:tc>
          <w:tcPr>
            <w:tcW w:w="3164" w:type="dxa"/>
          </w:tcPr>
          <w:p w14:paraId="2E90F0EF" w14:textId="77C5128A" w:rsidR="003116E0" w:rsidRDefault="00C72755" w:rsidP="007F78D9">
            <w:pPr>
              <w:pStyle w:val="TableParagraph"/>
              <w:spacing w:before="1" w:line="288" w:lineRule="auto"/>
              <w:ind w:left="0" w:right="347"/>
              <w:rPr>
                <w:sz w:val="24"/>
              </w:rPr>
            </w:pPr>
            <w:r>
              <w:rPr>
                <w:sz w:val="24"/>
              </w:rPr>
              <w:t xml:space="preserve">Participation in remote learning is high. Attendance </w:t>
            </w:r>
            <w:r w:rsidRPr="00DD1224">
              <w:rPr>
                <w:sz w:val="24"/>
              </w:rPr>
              <w:t xml:space="preserve">at Session Three is also high and suggests that strategies to </w:t>
            </w:r>
            <w:r w:rsidR="00DD1224">
              <w:rPr>
                <w:sz w:val="24"/>
              </w:rPr>
              <w:t xml:space="preserve">fill gaps </w:t>
            </w:r>
            <w:r w:rsidRPr="00DD1224">
              <w:rPr>
                <w:sz w:val="24"/>
              </w:rPr>
              <w:t>have been successful.</w:t>
            </w:r>
            <w:r>
              <w:rPr>
                <w:sz w:val="24"/>
              </w:rPr>
              <w:t xml:space="preserve"> </w:t>
            </w:r>
          </w:p>
          <w:p w14:paraId="1C30E3E5" w14:textId="5E652A52" w:rsidR="005B1E43" w:rsidRPr="00517B30" w:rsidRDefault="005B1E43" w:rsidP="007F78D9">
            <w:pPr>
              <w:pStyle w:val="TableParagraph"/>
              <w:spacing w:before="1" w:line="288" w:lineRule="auto"/>
              <w:ind w:left="0" w:right="347"/>
              <w:rPr>
                <w:b/>
                <w:bCs/>
                <w:color w:val="FF0000"/>
                <w:sz w:val="24"/>
              </w:rPr>
            </w:pPr>
          </w:p>
        </w:tc>
      </w:tr>
      <w:tr w:rsidR="003116E0" w14:paraId="2547E751" w14:textId="77777777" w:rsidTr="007F78D9">
        <w:trPr>
          <w:trHeight w:val="1888"/>
        </w:trPr>
        <w:tc>
          <w:tcPr>
            <w:tcW w:w="3164" w:type="dxa"/>
          </w:tcPr>
          <w:p w14:paraId="0F3B8C30" w14:textId="5BFF74F3" w:rsidR="003116E0" w:rsidRDefault="003116E0" w:rsidP="006308FB">
            <w:pPr>
              <w:pStyle w:val="TableParagraph"/>
              <w:spacing w:before="1" w:line="288" w:lineRule="auto"/>
              <w:ind w:left="0" w:right="634"/>
            </w:pPr>
            <w:r>
              <w:lastRenderedPageBreak/>
              <w:t>Students are well supported to ensure that their mental health and well-being needs are sufficiently met.</w:t>
            </w:r>
          </w:p>
        </w:tc>
        <w:tc>
          <w:tcPr>
            <w:tcW w:w="3161" w:type="dxa"/>
          </w:tcPr>
          <w:p w14:paraId="21014EE2" w14:textId="1B579873" w:rsidR="003116E0" w:rsidRPr="003116E0" w:rsidRDefault="003116E0" w:rsidP="003116E0">
            <w:pPr>
              <w:pStyle w:val="TableParagraph"/>
              <w:spacing w:before="1" w:line="288" w:lineRule="auto"/>
              <w:ind w:left="108" w:right="191"/>
              <w:rPr>
                <w:color w:val="0D0D0D"/>
                <w:sz w:val="24"/>
              </w:rPr>
            </w:pPr>
            <w:r w:rsidRPr="003116E0">
              <w:rPr>
                <w:color w:val="0D0D0D"/>
                <w:sz w:val="24"/>
              </w:rPr>
              <w:t>A ‘prevent’ rather than ‘cure’ approach results in low number of students needing additional ongoing mental</w:t>
            </w:r>
            <w:r>
              <w:rPr>
                <w:color w:val="0D0D0D"/>
                <w:sz w:val="24"/>
              </w:rPr>
              <w:t xml:space="preserve"> </w:t>
            </w:r>
            <w:r w:rsidRPr="003116E0">
              <w:rPr>
                <w:color w:val="0D0D0D"/>
                <w:sz w:val="24"/>
              </w:rPr>
              <w:t>health support</w:t>
            </w:r>
            <w:r>
              <w:rPr>
                <w:color w:val="0D0D0D"/>
                <w:sz w:val="24"/>
              </w:rPr>
              <w:t>.</w:t>
            </w:r>
          </w:p>
          <w:p w14:paraId="7A7DC601" w14:textId="7055818B" w:rsidR="003116E0" w:rsidRPr="003116E0" w:rsidRDefault="003116E0" w:rsidP="003116E0">
            <w:pPr>
              <w:pStyle w:val="TableParagraph"/>
              <w:spacing w:before="1" w:line="288" w:lineRule="auto"/>
              <w:ind w:left="108" w:right="191"/>
              <w:rPr>
                <w:color w:val="0D0D0D"/>
                <w:sz w:val="24"/>
              </w:rPr>
            </w:pPr>
            <w:r w:rsidRPr="003116E0">
              <w:rPr>
                <w:color w:val="0D0D0D"/>
                <w:sz w:val="24"/>
              </w:rPr>
              <w:t>Help is always available, when needed for students to access</w:t>
            </w:r>
            <w:r>
              <w:rPr>
                <w:color w:val="0D0D0D"/>
                <w:sz w:val="24"/>
              </w:rPr>
              <w:t>.</w:t>
            </w:r>
          </w:p>
        </w:tc>
        <w:tc>
          <w:tcPr>
            <w:tcW w:w="3164" w:type="dxa"/>
          </w:tcPr>
          <w:p w14:paraId="462219E3" w14:textId="73A9F8AC" w:rsidR="003116E0" w:rsidRPr="00A21FCD" w:rsidRDefault="00E00B44" w:rsidP="007F78D9">
            <w:pPr>
              <w:pStyle w:val="TableParagraph"/>
              <w:spacing w:before="1" w:line="288" w:lineRule="auto"/>
              <w:ind w:left="0" w:right="347"/>
              <w:rPr>
                <w:sz w:val="24"/>
              </w:rPr>
            </w:pPr>
            <w:r w:rsidRPr="00DD1224">
              <w:rPr>
                <w:sz w:val="24"/>
              </w:rPr>
              <w:t>Open door policy concerning mental health support exists</w:t>
            </w:r>
            <w:r w:rsidR="007D75A6" w:rsidRPr="00DD1224">
              <w:rPr>
                <w:sz w:val="24"/>
              </w:rPr>
              <w:t xml:space="preserve"> at TTS</w:t>
            </w:r>
            <w:r w:rsidRPr="00DD1224">
              <w:rPr>
                <w:sz w:val="24"/>
              </w:rPr>
              <w:t>. Learners are aware of</w:t>
            </w:r>
            <w:r w:rsidR="002D31B1" w:rsidRPr="00DD1224">
              <w:rPr>
                <w:sz w:val="24"/>
              </w:rPr>
              <w:t xml:space="preserve"> and have access to</w:t>
            </w:r>
            <w:r w:rsidRPr="00DD1224">
              <w:rPr>
                <w:sz w:val="24"/>
              </w:rPr>
              <w:t xml:space="preserve"> </w:t>
            </w:r>
            <w:r w:rsidR="007D75A6" w:rsidRPr="00DD1224">
              <w:rPr>
                <w:sz w:val="24"/>
              </w:rPr>
              <w:t>trusted adults if they need extra support</w:t>
            </w:r>
            <w:r w:rsidR="007068D3" w:rsidRPr="00DD1224">
              <w:rPr>
                <w:sz w:val="24"/>
              </w:rPr>
              <w:t xml:space="preserve">. Support exists in a format where a </w:t>
            </w:r>
            <w:r w:rsidR="004B65C4" w:rsidRPr="00DD1224">
              <w:rPr>
                <w:sz w:val="24"/>
              </w:rPr>
              <w:t xml:space="preserve">highly trained </w:t>
            </w:r>
            <w:r w:rsidR="007068D3" w:rsidRPr="00DD1224">
              <w:rPr>
                <w:sz w:val="24"/>
              </w:rPr>
              <w:t xml:space="preserve">team of relevant professionals </w:t>
            </w:r>
            <w:r w:rsidR="00936DEC" w:rsidRPr="00DD1224">
              <w:rPr>
                <w:sz w:val="24"/>
              </w:rPr>
              <w:t>are effectively deployed to support</w:t>
            </w:r>
            <w:r w:rsidR="00DA5838" w:rsidRPr="00DD1224">
              <w:rPr>
                <w:sz w:val="24"/>
              </w:rPr>
              <w:t xml:space="preserve"> presenting needs</w:t>
            </w:r>
            <w:r w:rsidR="006721F5" w:rsidRPr="00DD1224">
              <w:rPr>
                <w:sz w:val="24"/>
              </w:rPr>
              <w:t>.</w:t>
            </w:r>
          </w:p>
        </w:tc>
      </w:tr>
      <w:tr w:rsidR="003116E0" w14:paraId="564B2B84" w14:textId="77777777" w:rsidTr="007F78D9">
        <w:trPr>
          <w:trHeight w:val="1888"/>
        </w:trPr>
        <w:tc>
          <w:tcPr>
            <w:tcW w:w="3164" w:type="dxa"/>
          </w:tcPr>
          <w:p w14:paraId="602883F6" w14:textId="36314307" w:rsidR="003116E0" w:rsidRDefault="003116E0" w:rsidP="006308FB">
            <w:pPr>
              <w:pStyle w:val="TableParagraph"/>
              <w:spacing w:before="1" w:line="288" w:lineRule="auto"/>
              <w:ind w:left="0" w:right="634"/>
            </w:pPr>
            <w:r>
              <w:t>Attendance is high and engagement in catch up work is consistent.</w:t>
            </w:r>
          </w:p>
        </w:tc>
        <w:tc>
          <w:tcPr>
            <w:tcW w:w="3161" w:type="dxa"/>
          </w:tcPr>
          <w:p w14:paraId="0D5B66DC" w14:textId="1FBB46BB" w:rsidR="003116E0" w:rsidRPr="003116E0" w:rsidRDefault="00C72755" w:rsidP="00C72755">
            <w:pPr>
              <w:pStyle w:val="TableParagraph"/>
              <w:spacing w:before="1" w:line="288" w:lineRule="auto"/>
              <w:ind w:left="0" w:right="191"/>
              <w:rPr>
                <w:color w:val="0D0D0D"/>
                <w:sz w:val="24"/>
              </w:rPr>
            </w:pPr>
            <w:r>
              <w:rPr>
                <w:color w:val="0D0D0D"/>
                <w:sz w:val="24"/>
              </w:rPr>
              <w:t>How does attendance compare to national data?</w:t>
            </w:r>
          </w:p>
        </w:tc>
        <w:tc>
          <w:tcPr>
            <w:tcW w:w="3164" w:type="dxa"/>
          </w:tcPr>
          <w:p w14:paraId="0685CE62" w14:textId="569FECD8" w:rsidR="003116E0" w:rsidRPr="00A21FCD" w:rsidRDefault="00AA3DB3" w:rsidP="007F78D9">
            <w:pPr>
              <w:pStyle w:val="TableParagraph"/>
              <w:spacing w:before="1" w:line="288" w:lineRule="auto"/>
              <w:ind w:left="0" w:right="347"/>
              <w:rPr>
                <w:sz w:val="24"/>
              </w:rPr>
            </w:pPr>
            <w:r w:rsidRPr="00DD1224">
              <w:rPr>
                <w:sz w:val="24"/>
              </w:rPr>
              <w:t xml:space="preserve">Attendance of disadvantaged learners is higher than the national </w:t>
            </w:r>
            <w:r w:rsidR="007C0718" w:rsidRPr="00DD1224">
              <w:rPr>
                <w:sz w:val="24"/>
              </w:rPr>
              <w:t>picture.</w:t>
            </w:r>
            <w:r w:rsidR="006721F5" w:rsidRPr="00DD1224">
              <w:rPr>
                <w:sz w:val="24"/>
              </w:rPr>
              <w:t xml:space="preserve"> This is carefully tracked and monitored, with timely and </w:t>
            </w:r>
            <w:r w:rsidR="00DD1224" w:rsidRPr="00DD1224">
              <w:rPr>
                <w:sz w:val="24"/>
              </w:rPr>
              <w:t>targeted</w:t>
            </w:r>
            <w:r w:rsidR="006721F5" w:rsidRPr="00DD1224">
              <w:rPr>
                <w:sz w:val="24"/>
              </w:rPr>
              <w:t xml:space="preserve"> support put in place</w:t>
            </w:r>
            <w:r w:rsidR="0016483D" w:rsidRPr="00DD1224">
              <w:rPr>
                <w:sz w:val="24"/>
              </w:rPr>
              <w:t xml:space="preserve"> for dis</w:t>
            </w:r>
            <w:r w:rsidR="00854998" w:rsidRPr="00DD1224">
              <w:rPr>
                <w:sz w:val="24"/>
              </w:rPr>
              <w:t>advantaged learners</w:t>
            </w:r>
            <w:r w:rsidR="00495A7C" w:rsidRPr="00DD1224">
              <w:rPr>
                <w:sz w:val="24"/>
              </w:rPr>
              <w:t xml:space="preserve"> following discussion at department and pastoral team meetings.</w:t>
            </w:r>
            <w:r w:rsidR="00143FFE" w:rsidRPr="00DD1224">
              <w:rPr>
                <w:sz w:val="24"/>
              </w:rPr>
              <w:t xml:space="preserve"> This is done in collaboration with parents.</w:t>
            </w:r>
          </w:p>
        </w:tc>
      </w:tr>
    </w:tbl>
    <w:p w14:paraId="7C3112AA" w14:textId="52887833" w:rsidR="00A21FCD" w:rsidRDefault="00A21FCD"/>
    <w:sectPr w:rsidR="00A21FCD">
      <w:pgSz w:w="11910" w:h="16840"/>
      <w:pgMar w:top="1120" w:right="1160" w:bottom="880" w:left="102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7ED7" w14:textId="77777777" w:rsidR="00BE7C4D" w:rsidRDefault="00BE7C4D">
      <w:r>
        <w:separator/>
      </w:r>
    </w:p>
  </w:endnote>
  <w:endnote w:type="continuationSeparator" w:id="0">
    <w:p w14:paraId="0FB9C0A0" w14:textId="77777777" w:rsidR="00BE7C4D" w:rsidRDefault="00BE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79D" w14:textId="77777777" w:rsidR="00FF6C4B" w:rsidRDefault="00786293">
    <w:pPr>
      <w:pStyle w:val="BodyText"/>
      <w:spacing w:line="14" w:lineRule="auto"/>
      <w:rPr>
        <w:i w:val="0"/>
        <w:sz w:val="19"/>
      </w:rPr>
    </w:pPr>
    <w:r>
      <w:rPr>
        <w:noProof/>
      </w:rPr>
      <mc:AlternateContent>
        <mc:Choice Requires="wps">
          <w:drawing>
            <wp:anchor distT="0" distB="0" distL="114300" distR="114300" simplePos="0" relativeHeight="251657728" behindDoc="1" locked="0" layoutInCell="1" allowOverlap="1" wp14:anchorId="00147EFD" wp14:editId="2D584F62">
              <wp:simplePos x="0" y="0"/>
              <wp:positionH relativeFrom="page">
                <wp:posOffset>3547110</wp:posOffset>
              </wp:positionH>
              <wp:positionV relativeFrom="page">
                <wp:posOffset>10060305</wp:posOffset>
              </wp:positionV>
              <wp:extent cx="161290" cy="1962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4BDC7" w14:textId="77777777" w:rsidR="00FF6C4B" w:rsidRDefault="0067012B">
                          <w:pPr>
                            <w:spacing w:before="12"/>
                            <w:ind w:left="60"/>
                            <w:rPr>
                              <w:rFonts w:ascii="Arial"/>
                              <w:sz w:val="24"/>
                            </w:rPr>
                          </w:pPr>
                          <w:r>
                            <w:fldChar w:fldCharType="begin"/>
                          </w:r>
                          <w:r>
                            <w:rPr>
                              <w:rFonts w:ascii="Arial"/>
                              <w:color w:val="0D0D0D"/>
                              <w:w w:val="99"/>
                              <w:sz w:val="24"/>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7EFD" id="_x0000_t202" coordsize="21600,21600" o:spt="202" path="m,l,21600r21600,l21600,xe">
              <v:stroke joinstyle="miter"/>
              <v:path gradientshapeok="t" o:connecttype="rect"/>
            </v:shapetype>
            <v:shape id="Text Box 1" o:spid="_x0000_s1027" type="#_x0000_t202" style="position:absolute;margin-left:279.3pt;margin-top:792.1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" filled="f" stroked="f">
              <v:path arrowok="t"/>
              <v:textbox inset="0,0,0,0">
                <w:txbxContent>
                  <w:p w14:paraId="28C4BDC7" w14:textId="77777777" w:rsidR="00FF6C4B" w:rsidRDefault="0067012B">
                    <w:pPr>
                      <w:spacing w:before="12"/>
                      <w:ind w:left="60"/>
                      <w:rPr>
                        <w:rFonts w:ascii="Arial"/>
                        <w:sz w:val="24"/>
                      </w:rPr>
                    </w:pPr>
                    <w:r>
                      <w:fldChar w:fldCharType="begin"/>
                    </w:r>
                    <w:r>
                      <w:rPr>
                        <w:rFonts w:ascii="Arial"/>
                        <w:color w:val="0D0D0D"/>
                        <w:w w:val="99"/>
                        <w:sz w:val="24"/>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8010" w14:textId="77777777" w:rsidR="00BE7C4D" w:rsidRDefault="00BE7C4D">
      <w:r>
        <w:separator/>
      </w:r>
    </w:p>
  </w:footnote>
  <w:footnote w:type="continuationSeparator" w:id="0">
    <w:p w14:paraId="0D683311" w14:textId="77777777" w:rsidR="00BE7C4D" w:rsidRDefault="00BE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CE9"/>
    <w:multiLevelType w:val="hybridMultilevel"/>
    <w:tmpl w:val="C29ED776"/>
    <w:lvl w:ilvl="0" w:tplc="EEB8A97E">
      <w:start w:val="1"/>
      <w:numFmt w:val="decimal"/>
      <w:lvlText w:val="%1."/>
      <w:lvlJc w:val="left"/>
      <w:pPr>
        <w:ind w:left="528" w:hanging="360"/>
      </w:pPr>
      <w:rPr>
        <w:rFonts w:hint="default"/>
        <w:color w:val="0D0D0D"/>
      </w:rPr>
    </w:lvl>
    <w:lvl w:ilvl="1" w:tplc="08090019" w:tentative="1">
      <w:start w:val="1"/>
      <w:numFmt w:val="lowerLetter"/>
      <w:lvlText w:val="%2."/>
      <w:lvlJc w:val="left"/>
      <w:pPr>
        <w:ind w:left="1248" w:hanging="360"/>
      </w:pPr>
    </w:lvl>
    <w:lvl w:ilvl="2" w:tplc="0809001B" w:tentative="1">
      <w:start w:val="1"/>
      <w:numFmt w:val="lowerRoman"/>
      <w:lvlText w:val="%3."/>
      <w:lvlJc w:val="right"/>
      <w:pPr>
        <w:ind w:left="1968" w:hanging="180"/>
      </w:pPr>
    </w:lvl>
    <w:lvl w:ilvl="3" w:tplc="0809000F" w:tentative="1">
      <w:start w:val="1"/>
      <w:numFmt w:val="decimal"/>
      <w:lvlText w:val="%4."/>
      <w:lvlJc w:val="left"/>
      <w:pPr>
        <w:ind w:left="2688" w:hanging="360"/>
      </w:pPr>
    </w:lvl>
    <w:lvl w:ilvl="4" w:tplc="08090019" w:tentative="1">
      <w:start w:val="1"/>
      <w:numFmt w:val="lowerLetter"/>
      <w:lvlText w:val="%5."/>
      <w:lvlJc w:val="left"/>
      <w:pPr>
        <w:ind w:left="3408" w:hanging="360"/>
      </w:pPr>
    </w:lvl>
    <w:lvl w:ilvl="5" w:tplc="0809001B" w:tentative="1">
      <w:start w:val="1"/>
      <w:numFmt w:val="lowerRoman"/>
      <w:lvlText w:val="%6."/>
      <w:lvlJc w:val="right"/>
      <w:pPr>
        <w:ind w:left="4128" w:hanging="180"/>
      </w:pPr>
    </w:lvl>
    <w:lvl w:ilvl="6" w:tplc="0809000F" w:tentative="1">
      <w:start w:val="1"/>
      <w:numFmt w:val="decimal"/>
      <w:lvlText w:val="%7."/>
      <w:lvlJc w:val="left"/>
      <w:pPr>
        <w:ind w:left="4848" w:hanging="360"/>
      </w:pPr>
    </w:lvl>
    <w:lvl w:ilvl="7" w:tplc="08090019" w:tentative="1">
      <w:start w:val="1"/>
      <w:numFmt w:val="lowerLetter"/>
      <w:lvlText w:val="%8."/>
      <w:lvlJc w:val="left"/>
      <w:pPr>
        <w:ind w:left="5568" w:hanging="360"/>
      </w:pPr>
    </w:lvl>
    <w:lvl w:ilvl="8" w:tplc="0809001B" w:tentative="1">
      <w:start w:val="1"/>
      <w:numFmt w:val="lowerRoman"/>
      <w:lvlText w:val="%9."/>
      <w:lvlJc w:val="right"/>
      <w:pPr>
        <w:ind w:left="6288" w:hanging="180"/>
      </w:pPr>
    </w:lvl>
  </w:abstractNum>
  <w:num w:numId="1" w16cid:durableId="183009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4B"/>
    <w:rsid w:val="00012305"/>
    <w:rsid w:val="00030BA5"/>
    <w:rsid w:val="00041EA1"/>
    <w:rsid w:val="00052914"/>
    <w:rsid w:val="000650B8"/>
    <w:rsid w:val="00075B3A"/>
    <w:rsid w:val="00076C71"/>
    <w:rsid w:val="00095AE7"/>
    <w:rsid w:val="000B2B48"/>
    <w:rsid w:val="000F05EB"/>
    <w:rsid w:val="000F6DDE"/>
    <w:rsid w:val="0011063F"/>
    <w:rsid w:val="00111EA7"/>
    <w:rsid w:val="00132FCF"/>
    <w:rsid w:val="00142DA4"/>
    <w:rsid w:val="00143FFE"/>
    <w:rsid w:val="0016483D"/>
    <w:rsid w:val="001A6FEB"/>
    <w:rsid w:val="001D48EC"/>
    <w:rsid w:val="001E7D16"/>
    <w:rsid w:val="002107F9"/>
    <w:rsid w:val="00244440"/>
    <w:rsid w:val="002455DF"/>
    <w:rsid w:val="002471B5"/>
    <w:rsid w:val="0027231F"/>
    <w:rsid w:val="00284DBD"/>
    <w:rsid w:val="002A42CD"/>
    <w:rsid w:val="002A4633"/>
    <w:rsid w:val="002B34F6"/>
    <w:rsid w:val="002B56E2"/>
    <w:rsid w:val="002C18AE"/>
    <w:rsid w:val="002C4172"/>
    <w:rsid w:val="002D31B1"/>
    <w:rsid w:val="002E3309"/>
    <w:rsid w:val="0030234A"/>
    <w:rsid w:val="00310367"/>
    <w:rsid w:val="003116E0"/>
    <w:rsid w:val="0031714D"/>
    <w:rsid w:val="003173EE"/>
    <w:rsid w:val="00324C24"/>
    <w:rsid w:val="0035712D"/>
    <w:rsid w:val="0036215C"/>
    <w:rsid w:val="00363004"/>
    <w:rsid w:val="003815F6"/>
    <w:rsid w:val="00385460"/>
    <w:rsid w:val="0039204E"/>
    <w:rsid w:val="003C51AF"/>
    <w:rsid w:val="003D253E"/>
    <w:rsid w:val="003D3072"/>
    <w:rsid w:val="003E5F49"/>
    <w:rsid w:val="003F78F7"/>
    <w:rsid w:val="00424E85"/>
    <w:rsid w:val="00435801"/>
    <w:rsid w:val="0043668E"/>
    <w:rsid w:val="00457410"/>
    <w:rsid w:val="004709A5"/>
    <w:rsid w:val="00481311"/>
    <w:rsid w:val="004813D7"/>
    <w:rsid w:val="004940D4"/>
    <w:rsid w:val="00495A7C"/>
    <w:rsid w:val="004B18EA"/>
    <w:rsid w:val="004B65C4"/>
    <w:rsid w:val="00517B30"/>
    <w:rsid w:val="00522EFA"/>
    <w:rsid w:val="00523E26"/>
    <w:rsid w:val="005253D3"/>
    <w:rsid w:val="0055718F"/>
    <w:rsid w:val="00572CBC"/>
    <w:rsid w:val="005B11BC"/>
    <w:rsid w:val="005B1E43"/>
    <w:rsid w:val="005C5D44"/>
    <w:rsid w:val="005F01C6"/>
    <w:rsid w:val="006050DE"/>
    <w:rsid w:val="006308FB"/>
    <w:rsid w:val="00647C75"/>
    <w:rsid w:val="006514B9"/>
    <w:rsid w:val="00660553"/>
    <w:rsid w:val="00661C50"/>
    <w:rsid w:val="0066620C"/>
    <w:rsid w:val="0067012B"/>
    <w:rsid w:val="006721F5"/>
    <w:rsid w:val="0069025F"/>
    <w:rsid w:val="006A2A6A"/>
    <w:rsid w:val="006B0CC4"/>
    <w:rsid w:val="006B2A7D"/>
    <w:rsid w:val="006D11C4"/>
    <w:rsid w:val="006E5B7F"/>
    <w:rsid w:val="0070474F"/>
    <w:rsid w:val="007068D3"/>
    <w:rsid w:val="007114FE"/>
    <w:rsid w:val="00734B5E"/>
    <w:rsid w:val="007609D5"/>
    <w:rsid w:val="00765A4B"/>
    <w:rsid w:val="00786293"/>
    <w:rsid w:val="007B5D0C"/>
    <w:rsid w:val="007C0718"/>
    <w:rsid w:val="007C401A"/>
    <w:rsid w:val="007D75A6"/>
    <w:rsid w:val="00811612"/>
    <w:rsid w:val="00817CB5"/>
    <w:rsid w:val="00840783"/>
    <w:rsid w:val="00841591"/>
    <w:rsid w:val="00854998"/>
    <w:rsid w:val="0087264A"/>
    <w:rsid w:val="008A0C69"/>
    <w:rsid w:val="008A3757"/>
    <w:rsid w:val="008A5667"/>
    <w:rsid w:val="008B0CA5"/>
    <w:rsid w:val="008B1456"/>
    <w:rsid w:val="008D0B6D"/>
    <w:rsid w:val="008D373F"/>
    <w:rsid w:val="008E319B"/>
    <w:rsid w:val="008F6B6C"/>
    <w:rsid w:val="008F7700"/>
    <w:rsid w:val="009271C2"/>
    <w:rsid w:val="00927220"/>
    <w:rsid w:val="00936DEC"/>
    <w:rsid w:val="009612D0"/>
    <w:rsid w:val="00974308"/>
    <w:rsid w:val="00980880"/>
    <w:rsid w:val="009D0461"/>
    <w:rsid w:val="009E33AE"/>
    <w:rsid w:val="009F19AD"/>
    <w:rsid w:val="00A1277A"/>
    <w:rsid w:val="00A1509E"/>
    <w:rsid w:val="00A21FCD"/>
    <w:rsid w:val="00A33B9F"/>
    <w:rsid w:val="00A36D79"/>
    <w:rsid w:val="00A50A41"/>
    <w:rsid w:val="00A51DDA"/>
    <w:rsid w:val="00A622FF"/>
    <w:rsid w:val="00A67825"/>
    <w:rsid w:val="00A939D7"/>
    <w:rsid w:val="00AA3DB3"/>
    <w:rsid w:val="00AB2A14"/>
    <w:rsid w:val="00AF35F6"/>
    <w:rsid w:val="00B07C8B"/>
    <w:rsid w:val="00B2323F"/>
    <w:rsid w:val="00B2767D"/>
    <w:rsid w:val="00B34365"/>
    <w:rsid w:val="00B3446C"/>
    <w:rsid w:val="00B46212"/>
    <w:rsid w:val="00B5452F"/>
    <w:rsid w:val="00B55A40"/>
    <w:rsid w:val="00B56179"/>
    <w:rsid w:val="00B64ABE"/>
    <w:rsid w:val="00B70FF8"/>
    <w:rsid w:val="00B727DB"/>
    <w:rsid w:val="00B83522"/>
    <w:rsid w:val="00BA12D5"/>
    <w:rsid w:val="00BB181C"/>
    <w:rsid w:val="00BB51D3"/>
    <w:rsid w:val="00BC6C14"/>
    <w:rsid w:val="00BE30AB"/>
    <w:rsid w:val="00BE7C4D"/>
    <w:rsid w:val="00C116D9"/>
    <w:rsid w:val="00C200FC"/>
    <w:rsid w:val="00C4455B"/>
    <w:rsid w:val="00C619CB"/>
    <w:rsid w:val="00C7219C"/>
    <w:rsid w:val="00C724D2"/>
    <w:rsid w:val="00C72755"/>
    <w:rsid w:val="00C80022"/>
    <w:rsid w:val="00C97148"/>
    <w:rsid w:val="00CB17D7"/>
    <w:rsid w:val="00CB40B3"/>
    <w:rsid w:val="00D03111"/>
    <w:rsid w:val="00D20095"/>
    <w:rsid w:val="00D24766"/>
    <w:rsid w:val="00D42B02"/>
    <w:rsid w:val="00D44DF5"/>
    <w:rsid w:val="00D53ED9"/>
    <w:rsid w:val="00DA5838"/>
    <w:rsid w:val="00DB6E3E"/>
    <w:rsid w:val="00DC7563"/>
    <w:rsid w:val="00DD1224"/>
    <w:rsid w:val="00DD1284"/>
    <w:rsid w:val="00DD16CF"/>
    <w:rsid w:val="00DE54AF"/>
    <w:rsid w:val="00DF06F9"/>
    <w:rsid w:val="00E00165"/>
    <w:rsid w:val="00E00B44"/>
    <w:rsid w:val="00E05357"/>
    <w:rsid w:val="00E27CDD"/>
    <w:rsid w:val="00E3212D"/>
    <w:rsid w:val="00E51197"/>
    <w:rsid w:val="00E5480F"/>
    <w:rsid w:val="00E63FF3"/>
    <w:rsid w:val="00E76C7A"/>
    <w:rsid w:val="00E80FEA"/>
    <w:rsid w:val="00EB3515"/>
    <w:rsid w:val="00EC6D87"/>
    <w:rsid w:val="00ED1E30"/>
    <w:rsid w:val="00ED4494"/>
    <w:rsid w:val="00EE1F5F"/>
    <w:rsid w:val="00EE2C45"/>
    <w:rsid w:val="00EF37F6"/>
    <w:rsid w:val="00F02DE4"/>
    <w:rsid w:val="00F26834"/>
    <w:rsid w:val="00FA163D"/>
    <w:rsid w:val="00FC0B82"/>
    <w:rsid w:val="00FF0851"/>
    <w:rsid w:val="00FF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8A52"/>
  <w15:docId w15:val="{6F02B9BC-8433-8144-936C-B1CC6CF7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34"/>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168"/>
    </w:pPr>
  </w:style>
  <w:style w:type="paragraph" w:styleId="Title">
    <w:name w:val="Title"/>
    <w:basedOn w:val="Normal"/>
    <w:link w:val="TitleChar"/>
    <w:qFormat/>
    <w:rsid w:val="00E5480F"/>
    <w:pPr>
      <w:widowControl/>
      <w:autoSpaceDE/>
      <w:autoSpaceDN/>
      <w:jc w:val="center"/>
    </w:pPr>
    <w:rPr>
      <w:rFonts w:ascii="Times New Roman" w:eastAsia="Times New Roman" w:hAnsi="Times New Roman" w:cs="Times New Roman"/>
      <w:b/>
      <w:sz w:val="48"/>
      <w:szCs w:val="20"/>
      <w:lang w:eastAsia="en-US" w:bidi="ar-SA"/>
    </w:rPr>
  </w:style>
  <w:style w:type="character" w:customStyle="1" w:styleId="TitleChar">
    <w:name w:val="Title Char"/>
    <w:basedOn w:val="DefaultParagraphFont"/>
    <w:link w:val="Title"/>
    <w:rsid w:val="00E5480F"/>
    <w:rPr>
      <w:rFonts w:ascii="Times New Roman" w:eastAsia="Times New Roman" w:hAnsi="Times New Roman" w:cs="Times New Roman"/>
      <w:b/>
      <w:sz w:val="4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BD8C-DD42-4B31-B706-51059A09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Alex Bird</dc:creator>
  <cp:lastModifiedBy>Thomas Painter</cp:lastModifiedBy>
  <cp:revision>3</cp:revision>
  <dcterms:created xsi:type="dcterms:W3CDTF">2024-02-26T10:46:00Z</dcterms:created>
  <dcterms:modified xsi:type="dcterms:W3CDTF">2024-02-27T14:52:00Z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for Microsoft 365</vt:lpwstr>
  </property>
  <property fmtid="{D5CDD505-2E9C-101B-9397-08002B2CF9AE}" pid="4" name="LastSaved">
    <vt:filetime>2022-10-07T00:00:00Z</vt:filetime>
  </property>
</Properties>
</file>